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B597" w14:textId="77777777" w:rsidR="00BE3875" w:rsidRPr="00CF73E1" w:rsidRDefault="004169A1" w:rsidP="00BE3875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bookmarkStart w:id="0" w:name="_Hlk201668836"/>
      <w:bookmarkStart w:id="1" w:name="_Hlk201668953"/>
      <w:r w:rsidR="00BE3875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2C0F4117" w14:textId="77777777" w:rsidR="00CE5043" w:rsidRPr="00CE5043" w:rsidRDefault="00CE5043" w:rsidP="00CE5043">
      <w:pPr>
        <w:suppressAutoHyphens w:val="0"/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E5043">
        <w:rPr>
          <w:rFonts w:ascii="Corbel" w:hAnsi="Corbel"/>
          <w:b/>
          <w:smallCaps/>
          <w:sz w:val="24"/>
          <w:szCs w:val="24"/>
        </w:rPr>
        <w:t>SYLABUS</w:t>
      </w:r>
    </w:p>
    <w:p w14:paraId="6040E406" w14:textId="58A39010" w:rsidR="00CE5043" w:rsidRPr="00CE5043" w:rsidRDefault="00CE5043" w:rsidP="00CE5043">
      <w:pPr>
        <w:suppressAutoHyphens w:val="0"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E5043">
        <w:rPr>
          <w:rFonts w:ascii="Corbel" w:hAnsi="Corbel"/>
          <w:b/>
          <w:smallCaps/>
          <w:sz w:val="24"/>
          <w:szCs w:val="24"/>
        </w:rPr>
        <w:t>dotyczy cyklu kształcenia 202</w:t>
      </w:r>
      <w:r w:rsidR="00497243">
        <w:rPr>
          <w:rFonts w:ascii="Corbel" w:hAnsi="Corbel"/>
          <w:b/>
          <w:smallCaps/>
          <w:sz w:val="24"/>
          <w:szCs w:val="24"/>
        </w:rPr>
        <w:t>6</w:t>
      </w:r>
      <w:r w:rsidRPr="00CE5043">
        <w:rPr>
          <w:rFonts w:ascii="Corbel" w:hAnsi="Corbel"/>
          <w:b/>
          <w:smallCaps/>
          <w:sz w:val="24"/>
          <w:szCs w:val="24"/>
        </w:rPr>
        <w:t>-202</w:t>
      </w:r>
      <w:r w:rsidR="00497243">
        <w:rPr>
          <w:rFonts w:ascii="Corbel" w:hAnsi="Corbel"/>
          <w:b/>
          <w:smallCaps/>
          <w:sz w:val="24"/>
          <w:szCs w:val="24"/>
        </w:rPr>
        <w:t>8</w:t>
      </w:r>
    </w:p>
    <w:p w14:paraId="34789DC3" w14:textId="77777777" w:rsidR="00CE5043" w:rsidRPr="00CE5043" w:rsidRDefault="00CE5043" w:rsidP="00CE5043">
      <w:pPr>
        <w:suppressAutoHyphens w:val="0"/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E504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CE5043">
        <w:rPr>
          <w:rFonts w:ascii="Corbel" w:hAnsi="Corbel"/>
          <w:i/>
          <w:sz w:val="20"/>
          <w:szCs w:val="20"/>
        </w:rPr>
        <w:t>(skrajne daty</w:t>
      </w:r>
      <w:r w:rsidRPr="00CE5043">
        <w:rPr>
          <w:rFonts w:ascii="Corbel" w:hAnsi="Corbel"/>
          <w:sz w:val="20"/>
          <w:szCs w:val="20"/>
        </w:rPr>
        <w:t>)</w:t>
      </w:r>
    </w:p>
    <w:p w14:paraId="124904AE" w14:textId="423E0A0C" w:rsidR="00CE5043" w:rsidRPr="00CE5043" w:rsidRDefault="00CE5043" w:rsidP="00CE5043">
      <w:pPr>
        <w:suppressAutoHyphens w:val="0"/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CE5043">
        <w:rPr>
          <w:rFonts w:ascii="Corbel" w:hAnsi="Corbel"/>
          <w:sz w:val="24"/>
          <w:szCs w:val="24"/>
        </w:rPr>
        <w:t>Rok akademicki   202</w:t>
      </w:r>
      <w:r w:rsidR="00497243">
        <w:rPr>
          <w:rFonts w:ascii="Corbel" w:hAnsi="Corbel"/>
          <w:sz w:val="24"/>
          <w:szCs w:val="24"/>
        </w:rPr>
        <w:t>6</w:t>
      </w:r>
      <w:r w:rsidRPr="00CE5043">
        <w:rPr>
          <w:rFonts w:ascii="Corbel" w:hAnsi="Corbel"/>
          <w:sz w:val="24"/>
          <w:szCs w:val="24"/>
        </w:rPr>
        <w:t>-202</w:t>
      </w:r>
      <w:r w:rsidR="00497243">
        <w:rPr>
          <w:rFonts w:ascii="Corbel" w:hAnsi="Corbel"/>
          <w:sz w:val="24"/>
          <w:szCs w:val="24"/>
        </w:rPr>
        <w:t>7</w:t>
      </w:r>
    </w:p>
    <w:p w14:paraId="16453B97" w14:textId="77777777" w:rsidR="004169A1" w:rsidRDefault="004169A1" w:rsidP="00BE3875">
      <w:pPr>
        <w:spacing w:line="240" w:lineRule="auto"/>
        <w:jc w:val="right"/>
        <w:rPr>
          <w:rFonts w:ascii="Corbel" w:hAnsi="Corbel" w:cs="Corbel"/>
          <w:sz w:val="24"/>
          <w:szCs w:val="24"/>
        </w:rPr>
      </w:pPr>
    </w:p>
    <w:p w14:paraId="790BC20E" w14:textId="77777777" w:rsidR="004169A1" w:rsidRDefault="004169A1">
      <w:pPr>
        <w:pStyle w:val="Punktygwne"/>
        <w:spacing w:before="0" w:after="0"/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7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693"/>
        <w:gridCol w:w="7087"/>
      </w:tblGrid>
      <w:tr w:rsidR="004169A1" w14:paraId="270300B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87C0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4A38C" w14:textId="77777777" w:rsidR="004169A1" w:rsidRDefault="004169A1" w:rsidP="009D29CE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Kolonializm i </w:t>
            </w: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postkolonializm</w:t>
            </w:r>
            <w:proofErr w:type="spellEnd"/>
          </w:p>
        </w:tc>
      </w:tr>
      <w:tr w:rsidR="004169A1" w14:paraId="1E17404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16B6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157E" w14:textId="77777777" w:rsidR="004169A1" w:rsidRDefault="004169A1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BE3875" w14:paraId="7FB5461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A3597" w14:textId="77777777" w:rsidR="00BE3875" w:rsidRDefault="00BE3875" w:rsidP="00BE3875">
            <w:pPr>
              <w:pStyle w:val="Pytania"/>
              <w:spacing w:before="0" w:after="0" w:line="240" w:lineRule="exact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6D27A" w14:textId="77777777" w:rsidR="00BE3875" w:rsidRPr="00061A49" w:rsidRDefault="00BE3875" w:rsidP="00BE3875">
            <w:pPr>
              <w:pStyle w:val="Odpowiedzi"/>
              <w:snapToGrid w:val="0"/>
              <w:spacing w:before="280" w:after="280"/>
              <w:rPr>
                <w:b w:val="0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3875" w14:paraId="1799F92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F443" w14:textId="77777777" w:rsidR="00BE3875" w:rsidRDefault="00BE3875" w:rsidP="00BE3875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9DC2" w14:textId="77777777" w:rsidR="00BE3875" w:rsidRDefault="00BE3875" w:rsidP="00BE3875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4169A1" w14:paraId="39CD488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8F81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0EE6" w14:textId="77777777" w:rsidR="004169A1" w:rsidRDefault="004169A1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061A49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4169A1" w14:paraId="1565150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414A6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E13A" w14:textId="77777777" w:rsidR="004169A1" w:rsidRPr="00061A49" w:rsidRDefault="00061A49">
            <w:pPr>
              <w:pStyle w:val="Odpowiedzi"/>
              <w:snapToGrid w:val="0"/>
              <w:spacing w:before="280" w:after="280"/>
              <w:rPr>
                <w:b w:val="0"/>
              </w:rPr>
            </w:pPr>
            <w:r w:rsidRPr="00061A49">
              <w:rPr>
                <w:b w:val="0"/>
              </w:rPr>
              <w:t>II stopnia</w:t>
            </w:r>
          </w:p>
        </w:tc>
      </w:tr>
      <w:tr w:rsidR="004169A1" w14:paraId="54B12D9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BF21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378F" w14:textId="77777777" w:rsidR="004169A1" w:rsidRDefault="00061A49">
            <w:pPr>
              <w:pStyle w:val="Odpowiedzi"/>
              <w:snapToGrid w:val="0"/>
              <w:spacing w:before="280" w:after="280"/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ogolnoakademicki</w:t>
            </w:r>
            <w:proofErr w:type="spellEnd"/>
          </w:p>
        </w:tc>
      </w:tr>
      <w:tr w:rsidR="004169A1" w14:paraId="58F2B02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95A8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0106C" w14:textId="77777777" w:rsidR="004169A1" w:rsidRDefault="004169A1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4169A1" w14:paraId="1268425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D062F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2B7E" w14:textId="44E64C08" w:rsidR="004169A1" w:rsidRDefault="004169A1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497243">
              <w:rPr>
                <w:rFonts w:ascii="Corbel" w:hAnsi="Corbel" w:cs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/II</w:t>
            </w:r>
            <w:r w:rsidR="00497243">
              <w:rPr>
                <w:rFonts w:ascii="Corbel" w:hAnsi="Corbel" w:cs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4169A1" w14:paraId="17D326F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5B49C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9691" w14:textId="59696881" w:rsidR="004169A1" w:rsidRDefault="00497243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</w:t>
            </w:r>
            <w:r w:rsidR="009D29CE">
              <w:rPr>
                <w:rFonts w:ascii="Corbel" w:hAnsi="Corbel" w:cs="Corbel"/>
                <w:b w:val="0"/>
                <w:sz w:val="24"/>
                <w:szCs w:val="24"/>
              </w:rPr>
              <w:t>ierunkowy</w:t>
            </w:r>
          </w:p>
        </w:tc>
      </w:tr>
      <w:tr w:rsidR="004169A1" w14:paraId="2AF13F8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E052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C76AA" w14:textId="77777777" w:rsidR="004169A1" w:rsidRDefault="004169A1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 jako opcja)</w:t>
            </w:r>
          </w:p>
        </w:tc>
      </w:tr>
      <w:tr w:rsidR="004169A1" w14:paraId="0E30014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3434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62AB" w14:textId="77777777" w:rsidR="004169A1" w:rsidRDefault="004169A1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4169A1" w14:paraId="733DCCE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D63D" w14:textId="77777777" w:rsidR="004169A1" w:rsidRDefault="004169A1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 xml:space="preserve">Imię i nazwisko osoby prowadzącej / osób </w:t>
            </w:r>
            <w:r>
              <w:rPr>
                <w:rFonts w:ascii="Corbel" w:hAnsi="Corbel" w:cs="Corbel"/>
                <w:sz w:val="24"/>
                <w:szCs w:val="24"/>
              </w:rPr>
              <w:lastRenderedPageBreak/>
              <w:t>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D83F" w14:textId="77777777" w:rsidR="004169A1" w:rsidRDefault="004169A1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lastRenderedPageBreak/>
              <w:t>Dr Adam Kubiak</w:t>
            </w:r>
          </w:p>
        </w:tc>
      </w:tr>
      <w:tr w:rsidR="004169A1" w14:paraId="4E61B48D" w14:textId="77777777"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B19A8" w14:textId="77777777" w:rsidR="004169A1" w:rsidRDefault="004169A1">
            <w:pPr>
              <w:pStyle w:val="Pytania"/>
              <w:snapToGrid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40431" w14:textId="77777777" w:rsidR="004169A1" w:rsidRDefault="004169A1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</w:tbl>
    <w:p w14:paraId="15585C84" w14:textId="77777777" w:rsidR="004169A1" w:rsidRDefault="004169A1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79E1FEE1" w14:textId="77777777" w:rsidR="004169A1" w:rsidRDefault="004169A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6DFBF027" w14:textId="77777777" w:rsidR="004169A1" w:rsidRDefault="004169A1">
      <w:pPr>
        <w:pStyle w:val="Podpunkty"/>
        <w:ind w:left="284"/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7538F017" w14:textId="77777777" w:rsidR="004169A1" w:rsidRDefault="004169A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4169A1" w14:paraId="358A87C8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A029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03901DD7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56585" w14:textId="77777777" w:rsidR="004169A1" w:rsidRDefault="004169A1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483CB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F2D6" w14:textId="77777777" w:rsidR="004169A1" w:rsidRDefault="004169A1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0F1C2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75640" w14:textId="77777777" w:rsidR="004169A1" w:rsidRDefault="004169A1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A6A0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05A5" w14:textId="77777777" w:rsidR="004169A1" w:rsidRDefault="004169A1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A434A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43824" w14:textId="77777777" w:rsidR="004169A1" w:rsidRDefault="004169A1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4169A1" w14:paraId="21ED7A62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E12B" w14:textId="77777777" w:rsidR="004169A1" w:rsidRDefault="004169A1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FC78" w14:textId="77777777" w:rsidR="004169A1" w:rsidRDefault="004169A1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7D3A" w14:textId="77777777" w:rsidR="004169A1" w:rsidRDefault="009D29CE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2104" w14:textId="77777777" w:rsidR="004169A1" w:rsidRDefault="004169A1">
            <w:pPr>
              <w:pStyle w:val="centralniewrubryce"/>
              <w:snapToGrid w:val="0"/>
              <w:spacing w:before="0" w:after="0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77589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F5DE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0B1B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BF342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00CC2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49E3" w14:textId="77777777" w:rsidR="004169A1" w:rsidRDefault="004169A1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4169A1" w14:paraId="795BDBD1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D12D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8172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F9A93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9E108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AB7A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12A4F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DB03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EE96A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73DA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6510" w14:textId="77777777" w:rsidR="004169A1" w:rsidRDefault="004169A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40CEC4B" w14:textId="77777777" w:rsidR="004169A1" w:rsidRDefault="004169A1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0ED1CD65" w14:textId="77777777" w:rsidR="004169A1" w:rsidRDefault="004169A1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21C14E7F" w14:textId="77777777" w:rsidR="004169A1" w:rsidRDefault="004169A1">
      <w:pPr>
        <w:pStyle w:val="Punktygwne"/>
        <w:tabs>
          <w:tab w:val="left" w:pos="709"/>
        </w:tabs>
        <w:spacing w:before="0" w:after="0"/>
        <w:ind w:left="284"/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FED1776" w14:textId="77777777" w:rsidR="004169A1" w:rsidRDefault="004169A1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 xml:space="preserve">zajęcia w formie tradycyjnej </w:t>
      </w:r>
    </w:p>
    <w:p w14:paraId="15A9BB9F" w14:textId="77777777" w:rsidR="004169A1" w:rsidRDefault="004169A1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2B8F8D9E" w14:textId="77777777" w:rsidR="004169A1" w:rsidRDefault="004169A1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D38AB7C" w14:textId="77777777" w:rsidR="004169A1" w:rsidRDefault="004169A1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 w:cs="Corbel"/>
          <w:smallCaps w:val="0"/>
          <w:szCs w:val="24"/>
        </w:rPr>
        <w:t>przedmiotu  (</w:t>
      </w:r>
      <w:proofErr w:type="gramEnd"/>
      <w:r>
        <w:rPr>
          <w:rFonts w:ascii="Corbel" w:hAnsi="Corbel" w:cs="Corbel"/>
          <w:smallCaps w:val="0"/>
          <w:szCs w:val="24"/>
        </w:rPr>
        <w:t xml:space="preserve">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14:paraId="421779A8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19A2F20F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1B2CDCA1" w14:textId="77777777" w:rsidR="004169A1" w:rsidRDefault="004169A1">
      <w:pPr>
        <w:pStyle w:val="Punktygwne"/>
        <w:spacing w:before="0" w:after="0"/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4169A1" w14:paraId="2C9F7CC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C24A" w14:textId="77777777" w:rsidR="004169A1" w:rsidRDefault="004169A1">
            <w:pPr>
              <w:pStyle w:val="Punktygwne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14:paraId="07E25466" w14:textId="77777777" w:rsidR="004169A1" w:rsidRDefault="00061A49">
            <w:pPr>
              <w:pStyle w:val="Punktygwne"/>
              <w:spacing w:before="40" w:after="4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</w:t>
            </w:r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historii powszechnej i historii kultury w zakresie relacji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międzykulturowych</w:t>
            </w:r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na poziomie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określonym</w:t>
            </w:r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przez wytyczne kierunkowe studiów I-go stopnia</w:t>
            </w:r>
          </w:p>
          <w:p w14:paraId="10CC736C" w14:textId="77777777" w:rsidR="004169A1" w:rsidRDefault="004169A1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14:paraId="0E74A9B7" w14:textId="77777777" w:rsidR="004169A1" w:rsidRDefault="00061A49">
            <w:pPr>
              <w:pStyle w:val="Punktygwne"/>
              <w:spacing w:before="40" w:after="4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</w:t>
            </w:r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języka angielskiego w stopniu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umożliwiającym</w:t>
            </w:r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lekturę materiałów (B2+ </w:t>
            </w:r>
            <w:proofErr w:type="spellStart"/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reading</w:t>
            </w:r>
            <w:proofErr w:type="spellEnd"/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understanding</w:t>
            </w:r>
            <w:proofErr w:type="spellEnd"/>
            <w:r w:rsidR="004169A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)</w:t>
            </w:r>
          </w:p>
        </w:tc>
      </w:tr>
    </w:tbl>
    <w:p w14:paraId="7D832AC5" w14:textId="77777777" w:rsidR="004169A1" w:rsidRDefault="004169A1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C0CBC28" w14:textId="77777777" w:rsidR="004169A1" w:rsidRDefault="004169A1">
      <w:pPr>
        <w:pStyle w:val="Punktygwne"/>
        <w:spacing w:before="0" w:after="0"/>
      </w:pPr>
      <w:r>
        <w:rPr>
          <w:rFonts w:ascii="Corbel" w:hAnsi="Corbel" w:cs="Corbel"/>
          <w:szCs w:val="24"/>
        </w:rPr>
        <w:t xml:space="preserve">3. cele, efekty uczenia </w:t>
      </w:r>
      <w:proofErr w:type="gramStart"/>
      <w:r>
        <w:rPr>
          <w:rFonts w:ascii="Corbel" w:hAnsi="Corbel" w:cs="Corbel"/>
          <w:szCs w:val="24"/>
        </w:rPr>
        <w:t>się ,</w:t>
      </w:r>
      <w:proofErr w:type="gramEnd"/>
      <w:r>
        <w:rPr>
          <w:rFonts w:ascii="Corbel" w:hAnsi="Corbel" w:cs="Corbel"/>
          <w:szCs w:val="24"/>
        </w:rPr>
        <w:t xml:space="preserve"> treści Programowe i stosowane metody Dydaktyczne</w:t>
      </w:r>
    </w:p>
    <w:p w14:paraId="7F9B1648" w14:textId="77777777" w:rsidR="004169A1" w:rsidRDefault="004169A1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BB2BA7E" w14:textId="77777777" w:rsidR="004169A1" w:rsidRDefault="004169A1">
      <w:pPr>
        <w:pStyle w:val="Podpunkty"/>
      </w:pPr>
      <w:r>
        <w:rPr>
          <w:rFonts w:ascii="Corbel" w:hAnsi="Corbel" w:cs="Corbel"/>
          <w:sz w:val="24"/>
          <w:szCs w:val="24"/>
        </w:rPr>
        <w:t>3.1 Cele przedmiotu</w:t>
      </w:r>
    </w:p>
    <w:p w14:paraId="12A97B2C" w14:textId="77777777" w:rsidR="004169A1" w:rsidRDefault="004169A1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44"/>
        <w:gridCol w:w="8675"/>
      </w:tblGrid>
      <w:tr w:rsidR="004169A1" w14:paraId="100A4CD8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70328" w14:textId="77777777" w:rsidR="004169A1" w:rsidRDefault="004169A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0C389" w14:textId="77777777" w:rsidR="004169A1" w:rsidRDefault="004169A1">
            <w:pPr>
              <w:pStyle w:val="Podpunkty"/>
              <w:snapToGrid w:val="0"/>
              <w:spacing w:before="40" w:after="40"/>
              <w:ind w:left="0"/>
              <w:jc w:val="left"/>
            </w:pPr>
            <w:r>
              <w:rPr>
                <w:rFonts w:ascii="Garuda" w:hAnsi="Garuda" w:cs="Garuda"/>
                <w:b w:val="0"/>
                <w:szCs w:val="22"/>
              </w:rPr>
              <w:t xml:space="preserve">Wprowadzenie słuchaczy w krytykę dyskursu </w:t>
            </w:r>
            <w:r w:rsidR="00061A49">
              <w:rPr>
                <w:rFonts w:ascii="Garuda" w:hAnsi="Garuda" w:cs="Garuda"/>
                <w:b w:val="0"/>
                <w:szCs w:val="22"/>
              </w:rPr>
              <w:t>zależności</w:t>
            </w:r>
            <w:r>
              <w:rPr>
                <w:rFonts w:ascii="Garuda" w:hAnsi="Garuda" w:cs="Garuda"/>
                <w:b w:val="0"/>
                <w:szCs w:val="22"/>
              </w:rPr>
              <w:t xml:space="preserve"> i kolonializmu </w:t>
            </w:r>
          </w:p>
        </w:tc>
      </w:tr>
      <w:tr w:rsidR="004169A1" w14:paraId="15AACD79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2A76C" w14:textId="77777777" w:rsidR="004169A1" w:rsidRDefault="004169A1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DD9D7" w14:textId="77777777" w:rsidR="004169A1" w:rsidRDefault="004169A1">
            <w:pPr>
              <w:pStyle w:val="Podpunkty"/>
              <w:snapToGrid w:val="0"/>
              <w:spacing w:before="40" w:after="40"/>
              <w:ind w:left="0"/>
              <w:jc w:val="left"/>
            </w:pPr>
            <w:r>
              <w:rPr>
                <w:rFonts w:ascii="Garuda" w:hAnsi="Garuda" w:cs="Garuda"/>
                <w:b w:val="0"/>
                <w:szCs w:val="22"/>
              </w:rPr>
              <w:t xml:space="preserve">Zapoznanie </w:t>
            </w:r>
            <w:r w:rsidR="00061A49">
              <w:rPr>
                <w:rFonts w:ascii="Garuda" w:hAnsi="Garuda" w:cs="Garuda"/>
                <w:b w:val="0"/>
                <w:szCs w:val="22"/>
              </w:rPr>
              <w:t>słuchaczy</w:t>
            </w:r>
            <w:r>
              <w:rPr>
                <w:rFonts w:ascii="Garuda" w:hAnsi="Garuda" w:cs="Garuda"/>
                <w:b w:val="0"/>
                <w:szCs w:val="22"/>
              </w:rPr>
              <w:t xml:space="preserve"> z historycznymi i współczesnymi formami </w:t>
            </w:r>
            <w:proofErr w:type="spellStart"/>
            <w:r>
              <w:rPr>
                <w:rFonts w:ascii="Garuda" w:hAnsi="Garuda" w:cs="Garuda"/>
                <w:b w:val="0"/>
                <w:szCs w:val="22"/>
              </w:rPr>
              <w:t>zalezności</w:t>
            </w:r>
            <w:proofErr w:type="spellEnd"/>
            <w:r>
              <w:rPr>
                <w:rFonts w:ascii="Garuda" w:hAnsi="Garuda" w:cs="Garuda"/>
                <w:b w:val="0"/>
                <w:szCs w:val="22"/>
              </w:rPr>
              <w:t xml:space="preserve"> w </w:t>
            </w:r>
            <w:proofErr w:type="spellStart"/>
            <w:r>
              <w:rPr>
                <w:rFonts w:ascii="Garuda" w:hAnsi="Garuda" w:cs="Garuda"/>
                <w:b w:val="0"/>
                <w:szCs w:val="22"/>
              </w:rPr>
              <w:t>tm</w:t>
            </w:r>
            <w:proofErr w:type="spellEnd"/>
            <w:r>
              <w:rPr>
                <w:rFonts w:ascii="Garuda" w:hAnsi="Garuda" w:cs="Garuda"/>
                <w:b w:val="0"/>
                <w:szCs w:val="22"/>
              </w:rPr>
              <w:t xml:space="preserve"> szczególnie o typie kolonialnym (kolonializm kulturowy, ekonomiczny, cyfrowy...)</w:t>
            </w:r>
          </w:p>
        </w:tc>
      </w:tr>
      <w:tr w:rsidR="004169A1" w14:paraId="170C496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4F8E" w14:textId="77777777" w:rsidR="004169A1" w:rsidRDefault="004169A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Garuda" w:hAnsi="Garuda" w:cs="Garuda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DE80F" w14:textId="77777777" w:rsidR="004169A1" w:rsidRDefault="004169A1">
            <w:pPr>
              <w:pStyle w:val="Podpunkty"/>
              <w:snapToGrid w:val="0"/>
              <w:spacing w:before="40" w:after="40"/>
              <w:ind w:left="0"/>
              <w:jc w:val="left"/>
            </w:pPr>
            <w:r>
              <w:rPr>
                <w:rFonts w:ascii="Garuda" w:hAnsi="Garuda" w:cs="Garuda"/>
                <w:b w:val="0"/>
                <w:sz w:val="24"/>
                <w:szCs w:val="24"/>
              </w:rPr>
              <w:t xml:space="preserve">Przygotowanie słuchaczy do krytycznej analizy treści dyskursu publicznego pod </w:t>
            </w:r>
            <w:proofErr w:type="spellStart"/>
            <w:r>
              <w:rPr>
                <w:rFonts w:ascii="Garuda" w:hAnsi="Garuda" w:cs="Garuda"/>
                <w:b w:val="0"/>
                <w:sz w:val="24"/>
                <w:szCs w:val="24"/>
              </w:rPr>
              <w:t>w.w</w:t>
            </w:r>
            <w:proofErr w:type="spellEnd"/>
            <w:r>
              <w:rPr>
                <w:rFonts w:ascii="Garuda" w:hAnsi="Garuda" w:cs="Garuda"/>
                <w:b w:val="0"/>
                <w:sz w:val="24"/>
                <w:szCs w:val="24"/>
              </w:rPr>
              <w:t>. kątem</w:t>
            </w:r>
          </w:p>
        </w:tc>
      </w:tr>
    </w:tbl>
    <w:p w14:paraId="4D682ECF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30D89EDB" w14:textId="77777777" w:rsidR="004169A1" w:rsidRDefault="004169A1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0153015E" w14:textId="77777777" w:rsidR="004169A1" w:rsidRDefault="004169A1">
      <w:pPr>
        <w:spacing w:after="0" w:line="240" w:lineRule="auto"/>
        <w:rPr>
          <w:rFonts w:ascii="Garuda" w:hAnsi="Garuda" w:cs="Garuda"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81"/>
        <w:gridCol w:w="5974"/>
        <w:gridCol w:w="1865"/>
      </w:tblGrid>
      <w:tr w:rsidR="004169A1" w14:paraId="0829504C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82366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Garuda" w:hAnsi="Garuda" w:cs="Garuda"/>
                <w:smallCaps w:val="0"/>
                <w:szCs w:val="24"/>
              </w:rPr>
              <w:lastRenderedPageBreak/>
              <w:t>EK</w:t>
            </w:r>
            <w:r>
              <w:rPr>
                <w:rFonts w:ascii="Garuda" w:hAnsi="Garuda" w:cs="Garuda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FF5B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B42AB" w14:textId="77777777" w:rsidR="004169A1" w:rsidRDefault="004169A1">
            <w:pPr>
              <w:pStyle w:val="Punktygwne"/>
              <w:spacing w:before="0" w:after="0"/>
              <w:jc w:val="center"/>
              <w:rPr>
                <w:rFonts w:ascii="Garuda" w:hAnsi="Garuda" w:cs="Garuda"/>
                <w:b w:val="0"/>
                <w:smallCaps w:val="0"/>
                <w:szCs w:val="24"/>
              </w:rPr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Garuda" w:hAnsi="Garuda" w:cs="Garuda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Garuda" w:hAnsi="Garuda" w:cs="Garuda"/>
                <w:b w:val="0"/>
                <w:smallCaps w:val="0"/>
                <w:szCs w:val="24"/>
              </w:rPr>
              <w:t xml:space="preserve"> </w:t>
            </w:r>
            <w:r>
              <w:rPr>
                <w:rStyle w:val="FootnoteCharacters"/>
                <w:rFonts w:ascii="Garuda" w:hAnsi="Garuda" w:cs="Garuda"/>
                <w:b w:val="0"/>
                <w:smallCaps w:val="0"/>
                <w:szCs w:val="24"/>
              </w:rPr>
              <w:footnoteReference w:id="1"/>
            </w:r>
          </w:p>
        </w:tc>
      </w:tr>
      <w:tr w:rsidR="004169A1" w14:paraId="2E8380E5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3399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EK</w:t>
            </w:r>
            <w:r>
              <w:rPr>
                <w:rFonts w:ascii="Garuda" w:hAnsi="Garuda" w:cs="Garuda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5312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 w:val="22"/>
                <w:szCs w:val="24"/>
              </w:rPr>
              <w:t>Student rozumie złożoność problematyki „uniwersalności”, podrzędności i zależności poza stereotypowym kontekstem akademickim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EE3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KW_0</w:t>
            </w:r>
            <w:r w:rsidR="00E54C74">
              <w:rPr>
                <w:rFonts w:ascii="Garuda" w:hAnsi="Garuda" w:cs="Garuda"/>
                <w:b w:val="0"/>
                <w:smallCaps w:val="0"/>
                <w:szCs w:val="24"/>
              </w:rPr>
              <w:t>1</w:t>
            </w:r>
            <w:r>
              <w:rPr>
                <w:rFonts w:ascii="Garuda" w:hAnsi="Garuda" w:cs="Garuda"/>
                <w:b w:val="0"/>
                <w:smallCaps w:val="0"/>
                <w:szCs w:val="24"/>
              </w:rPr>
              <w:t>, KW_</w:t>
            </w:r>
            <w:r w:rsidR="00E54C74">
              <w:rPr>
                <w:rFonts w:ascii="Garuda" w:hAnsi="Garuda" w:cs="Garuda"/>
                <w:b w:val="0"/>
                <w:smallCaps w:val="0"/>
                <w:szCs w:val="24"/>
              </w:rPr>
              <w:t>04</w:t>
            </w:r>
          </w:p>
        </w:tc>
      </w:tr>
      <w:tr w:rsidR="004169A1" w14:paraId="57BEFA5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9049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F1C0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 w:val="22"/>
                <w:szCs w:val="24"/>
              </w:rPr>
              <w:t>ma świadomość przypadkowości „konieczności i oczywistości historycznych”, potrafi wskazać elementarne struktury dominacji w dyskursie publicznym (w tym naukowym) i metody ich podtrzymywania i ich zastosowania w formowaniu ideologii i propagandy;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1331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KU_0</w:t>
            </w:r>
            <w:r w:rsidR="00E54C74">
              <w:rPr>
                <w:rFonts w:ascii="Garuda" w:hAnsi="Garuda" w:cs="Garuda"/>
                <w:b w:val="0"/>
                <w:smallCaps w:val="0"/>
                <w:szCs w:val="24"/>
              </w:rPr>
              <w:t>1</w:t>
            </w:r>
            <w:r>
              <w:rPr>
                <w:rFonts w:ascii="Garuda" w:hAnsi="Garuda" w:cs="Garuda"/>
                <w:b w:val="0"/>
                <w:smallCaps w:val="0"/>
                <w:szCs w:val="24"/>
              </w:rPr>
              <w:t>, KU_0</w:t>
            </w:r>
            <w:r w:rsidR="00E54C74">
              <w:rPr>
                <w:rFonts w:ascii="Garuda" w:hAnsi="Garuda" w:cs="Garuda"/>
                <w:b w:val="0"/>
                <w:smallCaps w:val="0"/>
                <w:szCs w:val="24"/>
              </w:rPr>
              <w:t>2</w:t>
            </w:r>
          </w:p>
        </w:tc>
      </w:tr>
      <w:tr w:rsidR="004169A1" w14:paraId="76ED878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D17F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DDCF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Słuchacz jest zdolny </w:t>
            </w:r>
            <w:proofErr w:type="gramStart"/>
            <w:r>
              <w:rPr>
                <w:rFonts w:ascii="Garuda" w:hAnsi="Garuda" w:cs="Garuda"/>
                <w:b w:val="0"/>
                <w:smallCaps w:val="0"/>
                <w:sz w:val="22"/>
              </w:rPr>
              <w:t>do  określania</w:t>
            </w:r>
            <w:proofErr w:type="gramEnd"/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 relacji </w:t>
            </w:r>
            <w:proofErr w:type="spellStart"/>
            <w:r>
              <w:rPr>
                <w:rFonts w:ascii="Garuda" w:hAnsi="Garuda" w:cs="Garuda"/>
                <w:b w:val="0"/>
                <w:smallCaps w:val="0"/>
                <w:sz w:val="22"/>
              </w:rPr>
              <w:t>podrzedności</w:t>
            </w:r>
            <w:proofErr w:type="spellEnd"/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 i dominacji, w tym własnej pozycji w strukturach produkcji i redystrybucji wiedzy i motywów oraz typu własnych interwencji (bądź ich braku);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44E3" w14:textId="77777777" w:rsidR="004169A1" w:rsidRDefault="00E54C74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 xml:space="preserve">KU_03 </w:t>
            </w:r>
            <w:r w:rsidR="004169A1">
              <w:rPr>
                <w:rFonts w:ascii="Garuda" w:hAnsi="Garuda" w:cs="Garuda"/>
                <w:b w:val="0"/>
                <w:smallCaps w:val="0"/>
                <w:szCs w:val="24"/>
              </w:rPr>
              <w:t>KU_</w:t>
            </w:r>
            <w:r>
              <w:rPr>
                <w:rFonts w:ascii="Garuda" w:hAnsi="Garuda" w:cs="Garuda"/>
                <w:b w:val="0"/>
                <w:smallCaps w:val="0"/>
                <w:szCs w:val="24"/>
              </w:rPr>
              <w:t>05</w:t>
            </w:r>
          </w:p>
        </w:tc>
      </w:tr>
      <w:tr w:rsidR="004169A1" w14:paraId="30F9D106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9EA2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7203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Słuchacz ma </w:t>
            </w:r>
            <w:proofErr w:type="spellStart"/>
            <w:r>
              <w:rPr>
                <w:rFonts w:ascii="Garuda" w:hAnsi="Garuda" w:cs="Garuda"/>
                <w:b w:val="0"/>
                <w:smallCaps w:val="0"/>
                <w:sz w:val="22"/>
              </w:rPr>
              <w:t>świadomośc</w:t>
            </w:r>
            <w:proofErr w:type="spellEnd"/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 </w:t>
            </w:r>
            <w:proofErr w:type="spellStart"/>
            <w:r>
              <w:rPr>
                <w:rFonts w:ascii="Garuda" w:hAnsi="Garuda" w:cs="Garuda"/>
                <w:b w:val="0"/>
                <w:smallCaps w:val="0"/>
                <w:sz w:val="22"/>
              </w:rPr>
              <w:t>zlożonosci</w:t>
            </w:r>
            <w:proofErr w:type="spellEnd"/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 treści kulturowych, pól konfliktów i </w:t>
            </w:r>
            <w:proofErr w:type="spellStart"/>
            <w:r>
              <w:rPr>
                <w:rFonts w:ascii="Garuda" w:hAnsi="Garuda" w:cs="Garuda"/>
                <w:b w:val="0"/>
                <w:smallCaps w:val="0"/>
                <w:sz w:val="22"/>
              </w:rPr>
              <w:t>mozliwych</w:t>
            </w:r>
            <w:proofErr w:type="spellEnd"/>
            <w:r>
              <w:rPr>
                <w:rFonts w:ascii="Garuda" w:hAnsi="Garuda" w:cs="Garuda"/>
                <w:b w:val="0"/>
                <w:smallCaps w:val="0"/>
                <w:sz w:val="22"/>
              </w:rPr>
              <w:t xml:space="preserve"> (bądź niemożliwych) negocjacji, w tym w polu „dziedzictwa kulturowego” i problemów związanych z rzetelnym „dialogiem międzykulturowym”, </w:t>
            </w:r>
            <w:r>
              <w:rPr>
                <w:rFonts w:ascii="Garuda" w:hAnsi="Garuda" w:cs="Garuda"/>
                <w:b w:val="0"/>
                <w:smallCaps w:val="0"/>
                <w:sz w:val="22"/>
                <w:szCs w:val="24"/>
              </w:rPr>
              <w:t xml:space="preserve">Rozumie </w:t>
            </w:r>
            <w:proofErr w:type="spellStart"/>
            <w:r>
              <w:rPr>
                <w:rFonts w:ascii="Garuda" w:hAnsi="Garuda" w:cs="Garuda"/>
                <w:b w:val="0"/>
                <w:smallCaps w:val="0"/>
                <w:sz w:val="22"/>
                <w:szCs w:val="24"/>
              </w:rPr>
              <w:t>problematycznośc</w:t>
            </w:r>
            <w:proofErr w:type="spellEnd"/>
            <w:r>
              <w:rPr>
                <w:rFonts w:ascii="Garuda" w:hAnsi="Garuda" w:cs="Garuda"/>
                <w:b w:val="0"/>
                <w:smallCaps w:val="0"/>
                <w:sz w:val="22"/>
                <w:szCs w:val="24"/>
              </w:rPr>
              <w:t xml:space="preserve"> materii tegoż w sytuacjach braku równorzędności, potrafi wskazać ze zrozumieniem strukturalne martwe pola dialogu.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A9AB" w14:textId="77777777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Garuda" w:hAnsi="Garuda" w:cs="Garuda"/>
                <w:b w:val="0"/>
                <w:smallCaps w:val="0"/>
                <w:szCs w:val="24"/>
              </w:rPr>
              <w:t>KK_0</w:t>
            </w:r>
            <w:r w:rsidR="00E54C74">
              <w:rPr>
                <w:rFonts w:ascii="Garuda" w:hAnsi="Garuda" w:cs="Garuda"/>
                <w:b w:val="0"/>
                <w:smallCaps w:val="0"/>
                <w:szCs w:val="24"/>
              </w:rPr>
              <w:t>1</w:t>
            </w:r>
          </w:p>
        </w:tc>
      </w:tr>
    </w:tbl>
    <w:p w14:paraId="7AD4AD17" w14:textId="77777777" w:rsidR="004169A1" w:rsidRDefault="004169A1">
      <w:pPr>
        <w:pStyle w:val="Punktygwne"/>
        <w:spacing w:before="0" w:after="0"/>
        <w:rPr>
          <w:rFonts w:ascii="Garuda" w:hAnsi="Garuda" w:cs="Garuda"/>
          <w:b w:val="0"/>
          <w:szCs w:val="24"/>
        </w:rPr>
      </w:pPr>
    </w:p>
    <w:p w14:paraId="4C014A5C" w14:textId="77777777" w:rsidR="004169A1" w:rsidRDefault="004169A1">
      <w:pPr>
        <w:pStyle w:val="ListParagraph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88E80C3" w14:textId="77777777" w:rsidR="004169A1" w:rsidRDefault="004169A1">
      <w:pPr>
        <w:pStyle w:val="ListParagraph"/>
        <w:numPr>
          <w:ilvl w:val="0"/>
          <w:numId w:val="1"/>
        </w:numPr>
        <w:spacing w:after="120" w:line="240" w:lineRule="auto"/>
        <w:jc w:val="both"/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3DEEB4C6" w14:textId="77777777" w:rsidR="004169A1" w:rsidRDefault="004169A1">
      <w:pPr>
        <w:pStyle w:val="ListParagraph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4169A1" w14:paraId="6D6861B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D40B" w14:textId="77777777" w:rsidR="004169A1" w:rsidRDefault="004169A1">
            <w:pPr>
              <w:pStyle w:val="ListParagraph"/>
              <w:spacing w:after="0" w:line="240" w:lineRule="auto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169A1" w14:paraId="71BCD9B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9542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>1. Dziedzictwo kolonialne i Kultury” czyli wspólne nieporozumienia (</w:t>
            </w:r>
            <w:proofErr w:type="spellStart"/>
            <w:r>
              <w:rPr>
                <w:rFonts w:ascii="Garuda" w:hAnsi="Garuda" w:cs="Garuda"/>
              </w:rPr>
              <w:t>universa</w:t>
            </w:r>
            <w:proofErr w:type="spellEnd"/>
            <w:r>
              <w:rPr>
                <w:rFonts w:ascii="Garuda" w:hAnsi="Garuda" w:cs="Garuda"/>
              </w:rPr>
              <w:t xml:space="preserve"> kulturowe, </w:t>
            </w:r>
            <w:proofErr w:type="spellStart"/>
            <w:r>
              <w:rPr>
                <w:rFonts w:ascii="Garuda" w:hAnsi="Garuda" w:cs="Garuda"/>
              </w:rPr>
              <w:t>universa</w:t>
            </w:r>
            <w:proofErr w:type="spellEnd"/>
            <w:r>
              <w:rPr>
                <w:rFonts w:ascii="Garuda" w:hAnsi="Garuda" w:cs="Garuda"/>
              </w:rPr>
              <w:t xml:space="preserve"> </w:t>
            </w:r>
            <w:proofErr w:type="spellStart"/>
            <w:r>
              <w:rPr>
                <w:rFonts w:ascii="Garuda" w:hAnsi="Garuda" w:cs="Garuda"/>
              </w:rPr>
              <w:t>wykluczeń</w:t>
            </w:r>
            <w:proofErr w:type="spellEnd"/>
            <w:r>
              <w:rPr>
                <w:rFonts w:ascii="Garuda" w:hAnsi="Garuda" w:cs="Garuda"/>
              </w:rPr>
              <w:t xml:space="preserve"> poznawczych), narcyzm i ahistoryzm kulturoznawczy, kultury jako byty skończone i skłócone.</w:t>
            </w:r>
          </w:p>
        </w:tc>
      </w:tr>
      <w:tr w:rsidR="004169A1" w14:paraId="1BDAAB8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5264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 xml:space="preserve">2. Kolonializm jako praktyka, ideologia i </w:t>
            </w:r>
            <w:r>
              <w:rPr>
                <w:rFonts w:ascii="Garuda" w:hAnsi="Garuda" w:cs="Garuda"/>
                <w:i/>
                <w:iCs/>
              </w:rPr>
              <w:t>kultura</w:t>
            </w:r>
            <w:r>
              <w:rPr>
                <w:rFonts w:ascii="Garuda" w:hAnsi="Garuda" w:cs="Garuda"/>
              </w:rPr>
              <w:t xml:space="preserve"> („dziedzictwo”). Krytyka relacji </w:t>
            </w:r>
            <w:proofErr w:type="spellStart"/>
            <w:r>
              <w:rPr>
                <w:rFonts w:ascii="Garuda" w:hAnsi="Garuda" w:cs="Garuda"/>
              </w:rPr>
              <w:t>podrzedności</w:t>
            </w:r>
            <w:proofErr w:type="spellEnd"/>
            <w:r>
              <w:rPr>
                <w:rFonts w:ascii="Garuda" w:hAnsi="Garuda" w:cs="Garuda"/>
              </w:rPr>
              <w:t>: rasa, płeć, terytorium i dystans.</w:t>
            </w:r>
          </w:p>
        </w:tc>
      </w:tr>
      <w:tr w:rsidR="004169A1" w14:paraId="6DA2CCE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4FB6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 xml:space="preserve">3. Historyczne postaci krytyki postkolonialnej: </w:t>
            </w:r>
            <w:proofErr w:type="spellStart"/>
            <w:r>
              <w:rPr>
                <w:rFonts w:ascii="Garuda" w:hAnsi="Garuda" w:cs="Garuda"/>
              </w:rPr>
              <w:t>Fanon</w:t>
            </w:r>
            <w:proofErr w:type="spellEnd"/>
            <w:r>
              <w:rPr>
                <w:rFonts w:ascii="Garuda" w:hAnsi="Garuda" w:cs="Garuda"/>
              </w:rPr>
              <w:t xml:space="preserve">, Said, </w:t>
            </w:r>
            <w:proofErr w:type="spellStart"/>
            <w:r>
              <w:rPr>
                <w:rFonts w:ascii="Garuda" w:hAnsi="Garuda" w:cs="Garuda"/>
              </w:rPr>
              <w:t>Chakravorty-Spivak</w:t>
            </w:r>
            <w:proofErr w:type="spellEnd"/>
            <w:r>
              <w:rPr>
                <w:rFonts w:ascii="Garuda" w:hAnsi="Garuda" w:cs="Garuda"/>
              </w:rPr>
              <w:t xml:space="preserve"> </w:t>
            </w:r>
          </w:p>
        </w:tc>
      </w:tr>
      <w:tr w:rsidR="004169A1" w14:paraId="69EE8F2B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FD27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>4. Adaptacja, mimikra i ‘</w:t>
            </w:r>
            <w:proofErr w:type="spellStart"/>
            <w:r>
              <w:rPr>
                <w:rFonts w:ascii="Garuda" w:hAnsi="Garuda" w:cs="Garuda"/>
              </w:rPr>
              <w:t>sub</w:t>
            </w:r>
            <w:proofErr w:type="spellEnd"/>
            <w:r>
              <w:rPr>
                <w:rFonts w:ascii="Garuda" w:hAnsi="Garuda" w:cs="Garuda"/>
              </w:rPr>
              <w:t xml:space="preserve">-kolonializm’ – strategie </w:t>
            </w:r>
            <w:proofErr w:type="spellStart"/>
            <w:r>
              <w:rPr>
                <w:rFonts w:ascii="Garuda" w:hAnsi="Garuda" w:cs="Garuda"/>
              </w:rPr>
              <w:t>podporzadkowanego</w:t>
            </w:r>
            <w:proofErr w:type="spellEnd"/>
            <w:r>
              <w:rPr>
                <w:rFonts w:ascii="Garuda" w:hAnsi="Garuda" w:cs="Garuda"/>
              </w:rPr>
              <w:t xml:space="preserve"> oporu wg </w:t>
            </w:r>
            <w:proofErr w:type="spellStart"/>
            <w:r>
              <w:rPr>
                <w:rFonts w:ascii="Garuda" w:hAnsi="Garuda" w:cs="Garuda"/>
              </w:rPr>
              <w:t>Bhabhy</w:t>
            </w:r>
            <w:proofErr w:type="spellEnd"/>
            <w:r>
              <w:rPr>
                <w:rFonts w:ascii="Garuda" w:hAnsi="Garuda" w:cs="Garuda"/>
              </w:rPr>
              <w:t>.  „</w:t>
            </w:r>
            <w:proofErr w:type="spellStart"/>
            <w:r>
              <w:rPr>
                <w:rFonts w:ascii="Garuda" w:hAnsi="Garuda" w:cs="Garuda"/>
              </w:rPr>
              <w:t>Samokolonizujące</w:t>
            </w:r>
            <w:proofErr w:type="spellEnd"/>
            <w:r>
              <w:rPr>
                <w:rFonts w:ascii="Garuda" w:hAnsi="Garuda" w:cs="Garuda"/>
              </w:rPr>
              <w:t xml:space="preserve"> się kultury” – perspektywy </w:t>
            </w:r>
            <w:proofErr w:type="spellStart"/>
            <w:r>
              <w:rPr>
                <w:rFonts w:ascii="Garuda" w:hAnsi="Garuda" w:cs="Garuda"/>
              </w:rPr>
              <w:t>podporzadkowanego</w:t>
            </w:r>
            <w:proofErr w:type="spellEnd"/>
            <w:r>
              <w:rPr>
                <w:rFonts w:ascii="Garuda" w:hAnsi="Garuda" w:cs="Garuda"/>
              </w:rPr>
              <w:t xml:space="preserve"> podporządkowania i rola elit lokalnych</w:t>
            </w:r>
          </w:p>
        </w:tc>
      </w:tr>
      <w:tr w:rsidR="004169A1" w14:paraId="4BA560B8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41D4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 xml:space="preserve">5.(Europejski) Kolonializm wewnętrzny i kolonializm bez (oficjalnych) kolonii, casus Rzeczpospolitej, Imperium Osmańskiego, Austro-Węgier i Rosji. Kolonializm </w:t>
            </w:r>
            <w:proofErr w:type="spellStart"/>
            <w:r>
              <w:rPr>
                <w:rFonts w:ascii="Garuda" w:hAnsi="Garuda" w:cs="Garuda"/>
              </w:rPr>
              <w:t>spoleczny</w:t>
            </w:r>
            <w:proofErr w:type="spellEnd"/>
            <w:r>
              <w:rPr>
                <w:rFonts w:ascii="Garuda" w:hAnsi="Garuda" w:cs="Garuda"/>
              </w:rPr>
              <w:t xml:space="preserve"> i kolonializm „</w:t>
            </w:r>
            <w:proofErr w:type="spellStart"/>
            <w:r>
              <w:rPr>
                <w:rFonts w:ascii="Garuda" w:hAnsi="Garuda" w:cs="Garuda"/>
              </w:rPr>
              <w:t>wgłąb</w:t>
            </w:r>
            <w:proofErr w:type="spellEnd"/>
            <w:r>
              <w:rPr>
                <w:rFonts w:ascii="Garuda" w:hAnsi="Garuda" w:cs="Garuda"/>
              </w:rPr>
              <w:t>”.</w:t>
            </w:r>
          </w:p>
        </w:tc>
      </w:tr>
      <w:tr w:rsidR="004169A1" w14:paraId="167C9CE7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52AE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 xml:space="preserve">6. Kolonializm i krytyka postkolonialna dziś. </w:t>
            </w:r>
            <w:proofErr w:type="spellStart"/>
            <w:r>
              <w:rPr>
                <w:rFonts w:ascii="Garuda" w:hAnsi="Garuda" w:cs="Garuda"/>
              </w:rPr>
              <w:t>Reimperializacja</w:t>
            </w:r>
            <w:proofErr w:type="spellEnd"/>
            <w:r>
              <w:rPr>
                <w:rFonts w:ascii="Garuda" w:hAnsi="Garuda" w:cs="Garuda"/>
              </w:rPr>
              <w:t xml:space="preserve"> dyskursu publicznego („geopolityka” i „realizm”), </w:t>
            </w:r>
            <w:proofErr w:type="spellStart"/>
            <w:r>
              <w:rPr>
                <w:rFonts w:ascii="Garuda" w:hAnsi="Garuda" w:cs="Garuda"/>
              </w:rPr>
              <w:t>putinizm</w:t>
            </w:r>
            <w:proofErr w:type="spellEnd"/>
            <w:r>
              <w:rPr>
                <w:rFonts w:ascii="Garuda" w:hAnsi="Garuda" w:cs="Garuda"/>
              </w:rPr>
              <w:t>, „</w:t>
            </w:r>
            <w:proofErr w:type="spellStart"/>
            <w:r>
              <w:rPr>
                <w:rFonts w:ascii="Garuda" w:hAnsi="Garuda" w:cs="Garuda"/>
              </w:rPr>
              <w:t>America</w:t>
            </w:r>
            <w:proofErr w:type="spellEnd"/>
            <w:r>
              <w:rPr>
                <w:rFonts w:ascii="Garuda" w:hAnsi="Garuda" w:cs="Garuda"/>
              </w:rPr>
              <w:t xml:space="preserve"> 1st (but </w:t>
            </w:r>
            <w:proofErr w:type="spellStart"/>
            <w:r>
              <w:rPr>
                <w:rFonts w:ascii="Garuda" w:hAnsi="Garuda" w:cs="Garuda"/>
              </w:rPr>
              <w:t>just</w:t>
            </w:r>
            <w:proofErr w:type="spellEnd"/>
            <w:r>
              <w:rPr>
                <w:rFonts w:ascii="Garuda" w:hAnsi="Garuda" w:cs="Garuda"/>
              </w:rPr>
              <w:t xml:space="preserve"> </w:t>
            </w:r>
            <w:proofErr w:type="spellStart"/>
            <w:r>
              <w:rPr>
                <w:rFonts w:ascii="Garuda" w:hAnsi="Garuda" w:cs="Garuda"/>
              </w:rPr>
              <w:t>after</w:t>
            </w:r>
            <w:proofErr w:type="spellEnd"/>
            <w:r>
              <w:rPr>
                <w:rFonts w:ascii="Garuda" w:hAnsi="Garuda" w:cs="Garuda"/>
              </w:rPr>
              <w:t xml:space="preserve"> </w:t>
            </w:r>
            <w:proofErr w:type="spellStart"/>
            <w:r>
              <w:rPr>
                <w:rFonts w:ascii="Garuda" w:hAnsi="Garuda" w:cs="Garuda"/>
              </w:rPr>
              <w:t>you</w:t>
            </w:r>
            <w:proofErr w:type="spellEnd"/>
            <w:r>
              <w:rPr>
                <w:rFonts w:ascii="Garuda" w:hAnsi="Garuda" w:cs="Garuda"/>
              </w:rPr>
              <w:t xml:space="preserve">, </w:t>
            </w:r>
            <w:proofErr w:type="spellStart"/>
            <w:r>
              <w:rPr>
                <w:rFonts w:ascii="Garuda" w:hAnsi="Garuda" w:cs="Garuda"/>
              </w:rPr>
              <w:t>please</w:t>
            </w:r>
            <w:proofErr w:type="spellEnd"/>
            <w:r>
              <w:rPr>
                <w:rFonts w:ascii="Garuda" w:hAnsi="Garuda" w:cs="Garuda"/>
              </w:rPr>
              <w:t>)”, „Eurokołchoz” i bliski/wewnętrzny</w:t>
            </w:r>
            <w:r>
              <w:rPr>
                <w:rFonts w:ascii="Garuda" w:hAnsi="Garuda" w:cs="Garuda"/>
                <w:i/>
                <w:iCs/>
              </w:rPr>
              <w:t xml:space="preserve"> Inny</w:t>
            </w:r>
          </w:p>
        </w:tc>
      </w:tr>
      <w:tr w:rsidR="004169A1" w14:paraId="0E99833E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0C87" w14:textId="77777777" w:rsidR="004169A1" w:rsidRDefault="004169A1">
            <w:pPr>
              <w:pStyle w:val="ListParagraph"/>
              <w:snapToGrid w:val="0"/>
              <w:spacing w:after="0" w:line="240" w:lineRule="auto"/>
              <w:ind w:left="-250" w:firstLine="250"/>
            </w:pPr>
            <w:r>
              <w:rPr>
                <w:rFonts w:ascii="Garuda" w:hAnsi="Garuda" w:cs="Garuda"/>
              </w:rPr>
              <w:t xml:space="preserve">7.  Krytyki integracji europejskiej i </w:t>
            </w:r>
            <w:proofErr w:type="spellStart"/>
            <w:r>
              <w:rPr>
                <w:rFonts w:ascii="Garuda" w:hAnsi="Garuda" w:cs="Garuda"/>
              </w:rPr>
              <w:t>nacjonaliztyczne</w:t>
            </w:r>
            <w:proofErr w:type="spellEnd"/>
            <w:r>
              <w:rPr>
                <w:rFonts w:ascii="Garuda" w:hAnsi="Garuda" w:cs="Garuda"/>
              </w:rPr>
              <w:t xml:space="preserve"> nadużycia w dyskursie postkolonialnym. „Niestrategiczny </w:t>
            </w:r>
            <w:proofErr w:type="spellStart"/>
            <w:r>
              <w:rPr>
                <w:rFonts w:ascii="Garuda" w:hAnsi="Garuda" w:cs="Garuda"/>
              </w:rPr>
              <w:t>esencjalizm</w:t>
            </w:r>
            <w:proofErr w:type="spellEnd"/>
            <w:r>
              <w:rPr>
                <w:rFonts w:ascii="Garuda" w:hAnsi="Garuda" w:cs="Garuda"/>
              </w:rPr>
              <w:t xml:space="preserve">” </w:t>
            </w:r>
            <w:proofErr w:type="spellStart"/>
            <w:r>
              <w:rPr>
                <w:rFonts w:ascii="Garuda" w:hAnsi="Garuda" w:cs="Garuda"/>
              </w:rPr>
              <w:t>Spivak</w:t>
            </w:r>
            <w:proofErr w:type="spellEnd"/>
            <w:r>
              <w:rPr>
                <w:rFonts w:ascii="Garuda" w:hAnsi="Garuda" w:cs="Garuda"/>
              </w:rPr>
              <w:t>.</w:t>
            </w:r>
          </w:p>
        </w:tc>
      </w:tr>
    </w:tbl>
    <w:p w14:paraId="324CA017" w14:textId="77777777" w:rsidR="004169A1" w:rsidRDefault="004169A1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40A65F88" w14:textId="77777777" w:rsidR="004169A1" w:rsidRDefault="004169A1">
      <w:pPr>
        <w:pStyle w:val="ListParagraph"/>
        <w:numPr>
          <w:ilvl w:val="0"/>
          <w:numId w:val="1"/>
        </w:numPr>
        <w:spacing w:line="240" w:lineRule="auto"/>
        <w:jc w:val="both"/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49ABC1B1" w14:textId="77777777" w:rsidR="004169A1" w:rsidRDefault="004169A1">
      <w:pPr>
        <w:pStyle w:val="ListParagraph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4169A1" w14:paraId="75C9764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829C" w14:textId="77777777" w:rsidR="004169A1" w:rsidRDefault="004169A1">
            <w:pPr>
              <w:pStyle w:val="ListParagraph"/>
              <w:spacing w:after="0" w:line="240" w:lineRule="auto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169A1" w14:paraId="5F5CAC4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9428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Garuda" w:hAnsi="Garuda" w:cs="Garuda"/>
              </w:rPr>
              <w:t xml:space="preserve">1. </w:t>
            </w:r>
            <w:proofErr w:type="gramStart"/>
            <w:r>
              <w:rPr>
                <w:rFonts w:ascii="Garuda" w:hAnsi="Garuda" w:cs="Garuda"/>
              </w:rPr>
              <w:t>Kultury</w:t>
            </w:r>
            <w:proofErr w:type="gramEnd"/>
            <w:r>
              <w:rPr>
                <w:rFonts w:ascii="Garuda" w:hAnsi="Garuda" w:cs="Garuda"/>
              </w:rPr>
              <w:t xml:space="preserve"> czyli źródła nieporozumień – mroczna intymność tożsamości kulturowej (</w:t>
            </w:r>
            <w:proofErr w:type="spellStart"/>
            <w:r>
              <w:rPr>
                <w:rFonts w:ascii="Garuda" w:hAnsi="Garuda" w:cs="Garuda"/>
              </w:rPr>
              <w:t>Kiossev</w:t>
            </w:r>
            <w:proofErr w:type="spellEnd"/>
            <w:r>
              <w:rPr>
                <w:rFonts w:ascii="Garuda" w:hAnsi="Garuda" w:cs="Garuda"/>
              </w:rPr>
              <w:t>) i przyszłość pewnej przeszłości</w:t>
            </w:r>
          </w:p>
        </w:tc>
      </w:tr>
      <w:tr w:rsidR="004169A1" w14:paraId="6D2E274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1EC5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Garuda" w:hAnsi="Garuda" w:cs="Garuda"/>
              </w:rPr>
              <w:t>2. Czytanie kolonializmu i krytyka postkolonialna</w:t>
            </w:r>
          </w:p>
        </w:tc>
      </w:tr>
      <w:tr w:rsidR="004169A1" w14:paraId="5E6C970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EC72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Garuda" w:hAnsi="Garuda" w:cs="Garuda"/>
              </w:rPr>
              <w:t>3. Dyskursy, dyskusje, zaprzeczenia i wyparcia; partycypacja podporządkowanych</w:t>
            </w:r>
          </w:p>
        </w:tc>
      </w:tr>
      <w:tr w:rsidR="004169A1" w14:paraId="6FD1516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9135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Garuda" w:hAnsi="Garuda" w:cs="Garuda"/>
              </w:rPr>
              <w:t xml:space="preserve">4. Terytorium: „wszerz” i „w głąb”, kolonizacja, </w:t>
            </w:r>
            <w:proofErr w:type="spellStart"/>
            <w:r>
              <w:rPr>
                <w:rFonts w:ascii="Garuda" w:hAnsi="Garuda" w:cs="Garuda"/>
              </w:rPr>
              <w:t>postkolonizacja</w:t>
            </w:r>
            <w:proofErr w:type="spellEnd"/>
            <w:r>
              <w:rPr>
                <w:rFonts w:ascii="Garuda" w:hAnsi="Garuda" w:cs="Garuda"/>
              </w:rPr>
              <w:t xml:space="preserve"> i strategie społeczne</w:t>
            </w:r>
          </w:p>
        </w:tc>
      </w:tr>
      <w:tr w:rsidR="004169A1" w14:paraId="12F0204A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C51F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Garuda" w:hAnsi="Garuda" w:cs="Garuda"/>
              </w:rPr>
              <w:t>5. Kolonizacje przeszłości i przyszłości – polityki kulturowej kolonizacji i asymilacji</w:t>
            </w:r>
          </w:p>
        </w:tc>
      </w:tr>
      <w:tr w:rsidR="004169A1" w14:paraId="0103BBA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6B2F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Garuda" w:hAnsi="Garuda" w:cs="Garuda"/>
              </w:rPr>
              <w:lastRenderedPageBreak/>
              <w:t>6. Praktyki kolonialne dziś – wojna, dominacja, opór i podległość</w:t>
            </w:r>
          </w:p>
        </w:tc>
      </w:tr>
    </w:tbl>
    <w:p w14:paraId="074387E9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4C1A1A1" w14:textId="77777777" w:rsidR="004169A1" w:rsidRDefault="004169A1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362745E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3171843" w14:textId="77777777" w:rsidR="004169A1" w:rsidRDefault="004169A1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14:paraId="280A7B36" w14:textId="77777777" w:rsidR="004169A1" w:rsidRDefault="004169A1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 w:rsidRPr="00497243">
        <w:rPr>
          <w:rFonts w:ascii="Corbel" w:hAnsi="Corbel" w:cs="Corbel"/>
          <w:b w:val="0"/>
          <w:i/>
          <w:smallCaps w:val="0"/>
          <w:sz w:val="20"/>
          <w:szCs w:val="20"/>
          <w:u w:val="single"/>
        </w:rPr>
        <w:t>wykład problemowy,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 wykład z prezentacją multimedialną, metody kształcenia na odległość </w:t>
      </w:r>
    </w:p>
    <w:p w14:paraId="35259B4A" w14:textId="77777777" w:rsidR="004169A1" w:rsidRDefault="004169A1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 w:rsidRPr="00497243">
        <w:rPr>
          <w:rFonts w:ascii="Corbel" w:hAnsi="Corbel" w:cs="Corbel"/>
          <w:b w:val="0"/>
          <w:i/>
          <w:smallCaps w:val="0"/>
          <w:sz w:val="20"/>
          <w:szCs w:val="20"/>
          <w:u w:val="single"/>
        </w:rPr>
        <w:t>analiza tekstów z dyskusją,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 metoda projektów (projekt badawczy, wdrożeniowy, praktyczny), praca w grupach (rozwiązywanie zadań, dyskusja</w:t>
      </w:r>
      <w:proofErr w:type="gramStart"/>
      <w:r>
        <w:rPr>
          <w:rFonts w:ascii="Corbel" w:hAnsi="Corbel" w:cs="Corbel"/>
          <w:b w:val="0"/>
          <w:i/>
          <w:smallCaps w:val="0"/>
          <w:sz w:val="20"/>
          <w:szCs w:val="20"/>
        </w:rPr>
        <w:t>),gry</w:t>
      </w:r>
      <w:proofErr w:type="gramEnd"/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 dydaktyczne, metody kształcenia na odległość </w:t>
      </w:r>
    </w:p>
    <w:p w14:paraId="7EC33A19" w14:textId="77777777" w:rsidR="004169A1" w:rsidRDefault="004169A1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2298D795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C932467" w14:textId="77777777" w:rsidR="004169A1" w:rsidRDefault="004169A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13E862E1" w14:textId="77777777" w:rsidR="004169A1" w:rsidRDefault="004169A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52614F3" w14:textId="77777777" w:rsidR="004169A1" w:rsidRDefault="004169A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0FE857F" w14:textId="77777777" w:rsidR="004169A1" w:rsidRDefault="004169A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F541D19" w14:textId="77777777" w:rsidR="004169A1" w:rsidRDefault="004169A1">
      <w:pPr>
        <w:pStyle w:val="Punktygwne"/>
        <w:tabs>
          <w:tab w:val="left" w:pos="284"/>
        </w:tabs>
        <w:spacing w:before="0" w:after="0"/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48ED1841" w14:textId="77777777" w:rsidR="004169A1" w:rsidRDefault="004169A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AC85D17" w14:textId="77777777" w:rsidR="004169A1" w:rsidRDefault="004169A1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03A80F47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962"/>
        <w:gridCol w:w="5440"/>
        <w:gridCol w:w="2118"/>
      </w:tblGrid>
      <w:tr w:rsidR="004169A1" w14:paraId="78086DE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DB0D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6DC6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ADF590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445F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1F5A6AF" w14:textId="77777777" w:rsidR="004169A1" w:rsidRDefault="004169A1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4169A1" w14:paraId="186BE51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FBBB" w14:textId="2A6B2EF9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A331" w14:textId="6F811A84" w:rsidR="00497243" w:rsidRDefault="0049724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praca pisemna</w:t>
            </w:r>
          </w:p>
          <w:p w14:paraId="745F1EA8" w14:textId="7C81D5C7" w:rsidR="004169A1" w:rsidRDefault="004169A1">
            <w:pPr>
              <w:pStyle w:val="Punktygwne"/>
              <w:snapToGrid w:val="0"/>
              <w:spacing w:before="0" w:after="0"/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F843" w14:textId="3EE8F6D5" w:rsidR="004169A1" w:rsidRDefault="004169A1">
            <w:pPr>
              <w:pStyle w:val="Punktygwne"/>
              <w:snapToGrid w:val="0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4169A1" w14:paraId="0F6F1D1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EA37" w14:textId="5E02F48E" w:rsidR="004169A1" w:rsidRDefault="0049724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EK_02 -EK_04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4377" w14:textId="77777777" w:rsidR="004169A1" w:rsidRDefault="0049724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Aktywny udział w zajęciach (dyskusja, partycypacja w ćwiczeniach), Zadania zlecone, </w:t>
            </w:r>
          </w:p>
          <w:p w14:paraId="1B662B09" w14:textId="0ADF8025" w:rsidR="00497243" w:rsidRDefault="0049724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obserwacja w trakcie zajęć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C945" w14:textId="7C64DFD0" w:rsidR="004169A1" w:rsidRDefault="0049724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Ćw.</w:t>
            </w:r>
          </w:p>
        </w:tc>
      </w:tr>
    </w:tbl>
    <w:p w14:paraId="34BC61C3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9FF3E39" w14:textId="77777777" w:rsidR="004169A1" w:rsidRDefault="004169A1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1002D605" w14:textId="77777777" w:rsidR="004169A1" w:rsidRDefault="004169A1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4169A1" w14:paraId="1E2D914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31F7" w14:textId="6BB7CE1B" w:rsidR="004169A1" w:rsidRDefault="0049724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Na ocenę bardzo dobrą poprawnie napisany esej (50 %) oraz </w:t>
            </w:r>
          </w:p>
          <w:p w14:paraId="425EBAC1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Aktywność na zajęciach: 25%</w:t>
            </w:r>
          </w:p>
          <w:p w14:paraId="472F58C7" w14:textId="77777777" w:rsidR="004169A1" w:rsidRDefault="004169A1">
            <w:pPr>
              <w:spacing w:line="300" w:lineRule="atLeast"/>
            </w:pPr>
            <w:r>
              <w:rPr>
                <w:rFonts w:cs="Calibri"/>
                <w:sz w:val="24"/>
              </w:rPr>
              <w:t>- branie udziału w dyskusjach (np. zgłaszanie problemów i wątpliwości)</w:t>
            </w:r>
          </w:p>
          <w:p w14:paraId="7E6D9BE3" w14:textId="77777777" w:rsidR="004169A1" w:rsidRDefault="004169A1">
            <w:pPr>
              <w:spacing w:line="300" w:lineRule="atLeast"/>
            </w:pPr>
            <w:r>
              <w:rPr>
                <w:rFonts w:cs="Calibri"/>
                <w:sz w:val="24"/>
                <w:szCs w:val="24"/>
              </w:rPr>
              <w:t>- czynny udział w pracach grupowych w klasie</w:t>
            </w:r>
          </w:p>
          <w:p w14:paraId="4E024C40" w14:textId="77777777" w:rsidR="004169A1" w:rsidRDefault="004169A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49340599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Zadania zlecone: 25%</w:t>
            </w:r>
          </w:p>
          <w:p w14:paraId="3AEEE312" w14:textId="4E3A32DE" w:rsidR="00497243" w:rsidRPr="00497243" w:rsidRDefault="004169A1">
            <w:pPr>
              <w:pStyle w:val="Tekstpodstawowy"/>
              <w:spacing w:after="0" w:line="300" w:lineRule="atLeas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- utrzymanie zwięzłości (limit znaków)</w:t>
            </w:r>
            <w:r>
              <w:rPr>
                <w:rFonts w:cs="Calibri"/>
                <w:sz w:val="24"/>
                <w:szCs w:val="24"/>
              </w:rPr>
              <w:br/>
              <w:t>- zastosowanie w analizie wiedzy przedmiotowej</w:t>
            </w:r>
            <w:r>
              <w:rPr>
                <w:rFonts w:cs="Calibri"/>
                <w:sz w:val="24"/>
                <w:szCs w:val="24"/>
              </w:rPr>
              <w:br/>
              <w:t>- adekwatność względem materiału zadania</w:t>
            </w:r>
          </w:p>
          <w:p w14:paraId="3F1F3E8C" w14:textId="031E9C61" w:rsidR="004169A1" w:rsidRDefault="004169A1">
            <w:pPr>
              <w:pStyle w:val="Punktygwne"/>
              <w:spacing w:before="0" w:after="0"/>
            </w:pPr>
          </w:p>
          <w:p w14:paraId="2CAF5741" w14:textId="77777777" w:rsidR="004169A1" w:rsidRDefault="004169A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Kryteria oceny są identyczne co w przypadku zadań cząstkowych.</w:t>
            </w:r>
          </w:p>
          <w:p w14:paraId="3D7BCF3B" w14:textId="10D87E02" w:rsidR="00DF488A" w:rsidRDefault="00DF488A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Na ocenę bardzo dobrą 100% - 86%</w:t>
            </w:r>
          </w:p>
          <w:p w14:paraId="3971934A" w14:textId="715801D2" w:rsidR="00DF488A" w:rsidRDefault="00DF488A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Na ocenę </w:t>
            </w:r>
            <w:proofErr w:type="gramStart"/>
            <w:r>
              <w:rPr>
                <w:rFonts w:ascii="Corbel" w:hAnsi="Corbel" w:cs="Corbel"/>
                <w:b w:val="0"/>
                <w:smallCaps w:val="0"/>
                <w:szCs w:val="24"/>
              </w:rPr>
              <w:t>dobrą  85</w:t>
            </w:r>
            <w:proofErr w:type="gramEnd"/>
            <w:r>
              <w:rPr>
                <w:rFonts w:ascii="Corbel" w:hAnsi="Corbel" w:cs="Corbel"/>
                <w:b w:val="0"/>
                <w:smallCaps w:val="0"/>
                <w:szCs w:val="24"/>
              </w:rPr>
              <w:t>% -71%</w:t>
            </w:r>
          </w:p>
          <w:p w14:paraId="6AF019D0" w14:textId="4ACA6A7D" w:rsidR="00DF488A" w:rsidRDefault="00DF488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Na ocenę dostateczną 70% - 56% </w:t>
            </w:r>
          </w:p>
          <w:p w14:paraId="5DB31CA6" w14:textId="77777777" w:rsidR="004169A1" w:rsidRDefault="004169A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018DC53F" w14:textId="056ADCC5" w:rsidR="004169A1" w:rsidRDefault="004169A1" w:rsidP="00497243">
            <w:pPr>
              <w:pStyle w:val="Tekstpodstawowy"/>
              <w:spacing w:after="0" w:line="300" w:lineRule="atLeast"/>
            </w:pPr>
            <w:r>
              <w:rPr>
                <w:rFonts w:cs="Calibri"/>
                <w:sz w:val="24"/>
                <w:szCs w:val="24"/>
              </w:rPr>
              <w:t xml:space="preserve">Wszystkie oceny cząstkowe mogą ulegać przeciążeniu tzn. słuchacz może otrzymać za każde zadanie więcej punktów niż maksimum w przypadku wyróżniającego się wykonania. Punktacja nie jest normalizowana </w:t>
            </w:r>
            <w:r w:rsidR="00497243">
              <w:rPr>
                <w:rFonts w:cs="Calibri"/>
                <w:sz w:val="24"/>
                <w:szCs w:val="24"/>
              </w:rPr>
              <w:t xml:space="preserve">- </w:t>
            </w:r>
            <w:r>
              <w:rPr>
                <w:rFonts w:cs="Calibri"/>
                <w:sz w:val="24"/>
                <w:szCs w:val="24"/>
              </w:rPr>
              <w:t>jest do 100</w:t>
            </w:r>
            <w:proofErr w:type="gramStart"/>
            <w:r>
              <w:rPr>
                <w:rFonts w:cs="Calibri"/>
                <w:sz w:val="24"/>
                <w:szCs w:val="24"/>
              </w:rPr>
              <w:t>%.*</w:t>
            </w:r>
            <w:proofErr w:type="gramEnd"/>
          </w:p>
          <w:p w14:paraId="36D4AA46" w14:textId="77777777" w:rsidR="004169A1" w:rsidRDefault="004169A1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14:paraId="1795159A" w14:textId="77777777" w:rsidR="004169A1" w:rsidRDefault="004169A1">
            <w:pPr>
              <w:pStyle w:val="Tekstpodstawowy"/>
              <w:spacing w:after="0" w:line="300" w:lineRule="atLeast"/>
            </w:pPr>
            <w:r>
              <w:rPr>
                <w:rFonts w:cs="Calibri"/>
                <w:sz w:val="24"/>
                <w:szCs w:val="20"/>
              </w:rPr>
              <w:lastRenderedPageBreak/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cs="Calibri"/>
                <w:i/>
                <w:iCs/>
                <w:sz w:val="24"/>
                <w:szCs w:val="20"/>
              </w:rPr>
              <w:t>praktykę</w:t>
            </w:r>
            <w:r>
              <w:rPr>
                <w:rFonts w:cs="Calibri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14:paraId="4D6A6F8A" w14:textId="77777777" w:rsidR="004169A1" w:rsidRDefault="004169A1">
            <w:pPr>
              <w:pStyle w:val="Tekstpodstawowy"/>
              <w:spacing w:after="0" w:line="300" w:lineRule="atLeast"/>
              <w:rPr>
                <w:rFonts w:ascii="Corbel" w:hAnsi="Corbel" w:cs="Corbel"/>
                <w:szCs w:val="24"/>
              </w:rPr>
            </w:pPr>
          </w:p>
          <w:p w14:paraId="0745DCA0" w14:textId="77777777" w:rsidR="004169A1" w:rsidRDefault="004169A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552B68F9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D66EEEC" w14:textId="77777777" w:rsidR="004169A1" w:rsidRDefault="004169A1">
      <w:pPr>
        <w:pStyle w:val="NoSpacing"/>
        <w:ind w:left="284" w:hanging="284"/>
        <w:jc w:val="both"/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0E8C519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01"/>
        <w:gridCol w:w="4618"/>
      </w:tblGrid>
      <w:tr w:rsidR="004169A1" w14:paraId="406020E7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E498B" w14:textId="77777777" w:rsidR="004169A1" w:rsidRDefault="004169A1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1DE7" w14:textId="77777777" w:rsidR="004169A1" w:rsidRDefault="004169A1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69A1" w14:paraId="576D3660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0CAB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D249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4169A1" w14:paraId="7E50E354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E462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10053F79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BD74" w14:textId="45BC1636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5 </w:t>
            </w:r>
          </w:p>
        </w:tc>
      </w:tr>
      <w:tr w:rsidR="004169A1" w14:paraId="5F8DC8DF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05B4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14:paraId="009D8B5C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E80B" w14:textId="77777777" w:rsidR="004169A1" w:rsidRDefault="003B6D99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4169A1" w14:paraId="43557E2E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EE20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16AB" w14:textId="77777777" w:rsidR="004169A1" w:rsidRDefault="003B6D99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90</w:t>
            </w:r>
          </w:p>
        </w:tc>
      </w:tr>
      <w:tr w:rsidR="004169A1" w14:paraId="6610C43C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7F4E" w14:textId="77777777" w:rsidR="004169A1" w:rsidRDefault="004169A1">
            <w:pPr>
              <w:pStyle w:val="ListParagraph"/>
              <w:spacing w:after="0" w:line="240" w:lineRule="auto"/>
              <w:ind w:left="0"/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AFF2" w14:textId="77777777" w:rsidR="004169A1" w:rsidRDefault="004169A1">
            <w:pPr>
              <w:pStyle w:val="ListParagraph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2C450C29" w14:textId="77777777" w:rsidR="004169A1" w:rsidRDefault="004169A1">
      <w:pPr>
        <w:pStyle w:val="Punktygwne"/>
        <w:spacing w:before="0" w:after="0"/>
        <w:ind w:left="426"/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FF05CFB" w14:textId="77777777" w:rsidR="004169A1" w:rsidRDefault="004169A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32BEC16" w14:textId="77777777" w:rsidR="004169A1" w:rsidRDefault="004169A1">
      <w:pPr>
        <w:pStyle w:val="Punktygwne"/>
        <w:spacing w:before="0" w:after="0"/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770CFF33" w14:textId="77777777" w:rsidR="004169A1" w:rsidRDefault="004169A1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78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543"/>
        <w:gridCol w:w="3969"/>
      </w:tblGrid>
      <w:tr w:rsidR="004169A1" w14:paraId="538F2601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476E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2332" w14:textId="77777777" w:rsidR="004169A1" w:rsidRDefault="004169A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69A1" w14:paraId="1A087CDF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E355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0E19" w14:textId="77777777" w:rsidR="004169A1" w:rsidRDefault="004169A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52AB3BCC" w14:textId="77777777" w:rsidR="004169A1" w:rsidRDefault="004169A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0E21D136" w14:textId="77777777" w:rsidR="004169A1" w:rsidRDefault="004169A1">
      <w:pPr>
        <w:pStyle w:val="Punktygwne"/>
        <w:spacing w:before="0" w:after="0"/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4263BEC3" w14:textId="77777777" w:rsidR="004169A1" w:rsidRDefault="004169A1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78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513"/>
      </w:tblGrid>
      <w:tr w:rsidR="004169A1" w14:paraId="5A772088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6E2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3D6C9FFD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Bakić-Hayden Milica, 1995, </w:t>
            </w:r>
            <w:r w:rsidRPr="00BE3875">
              <w:rPr>
                <w:rFonts w:ascii="Garuda" w:hAnsi="Garuda" w:cs="Garuda"/>
                <w:i/>
                <w:iCs/>
                <w:sz w:val="20"/>
                <w:szCs w:val="20"/>
                <w:lang w:val="en-GB"/>
              </w:rPr>
              <w:t xml:space="preserve">Nesting </w:t>
            </w:r>
            <w:proofErr w:type="spellStart"/>
            <w:r w:rsidRPr="00BE3875">
              <w:rPr>
                <w:rFonts w:ascii="Garuda" w:hAnsi="Garuda" w:cs="Garuda"/>
                <w:i/>
                <w:iCs/>
                <w:sz w:val="20"/>
                <w:szCs w:val="20"/>
                <w:lang w:val="en-GB"/>
              </w:rPr>
              <w:t>Orientalisms</w:t>
            </w:r>
            <w:proofErr w:type="spellEnd"/>
            <w:r w:rsidRPr="00BE3875">
              <w:rPr>
                <w:rFonts w:ascii="Garuda" w:hAnsi="Garuda" w:cs="Garuda"/>
                <w:i/>
                <w:iCs/>
                <w:sz w:val="20"/>
                <w:szCs w:val="20"/>
                <w:lang w:val="en-GB"/>
              </w:rPr>
              <w:t>: The Case of Former Yugoslavia</w:t>
            </w: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Garuda" w:hAnsi="Garuda" w:cs="Garuda"/>
                <w:sz w:val="20"/>
                <w:szCs w:val="20"/>
              </w:rPr>
              <w:t xml:space="preserve">„Slavic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Review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” 54 (4): 917–31.</w:t>
            </w:r>
          </w:p>
          <w:p w14:paraId="0B42761E" w14:textId="77777777" w:rsidR="004169A1" w:rsidRPr="00BE3875" w:rsidRDefault="004169A1">
            <w:pPr>
              <w:numPr>
                <w:ilvl w:val="0"/>
                <w:numId w:val="3"/>
              </w:numPr>
              <w:spacing w:after="0"/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Bill S. (2014) Seeking the Authentic: Polish Culture and the Nature of Postcolonial Theory, NONsite.org, (online:) https://nonsite.org/seeking-the-authentic-polish-culture-and-the-nature-of-postcolonial-theory/ </w:t>
            </w:r>
          </w:p>
          <w:p w14:paraId="0FBA2223" w14:textId="77777777" w:rsidR="004169A1" w:rsidRPr="00BE3875" w:rsidRDefault="004169A1">
            <w:pPr>
              <w:numPr>
                <w:ilvl w:val="0"/>
                <w:numId w:val="3"/>
              </w:numPr>
              <w:spacing w:after="0"/>
              <w:rPr>
                <w:lang w:val="en-GB"/>
              </w:rPr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Etkind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A. (2003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)  Internal</w:t>
            </w:r>
            <w:proofErr w:type="gram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Colonization and Russian Cultural History, „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Ulbandus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”, 7, s. 17–25</w:t>
            </w:r>
          </w:p>
          <w:p w14:paraId="72BC45E5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t>Ghandi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L. (2008) Teoria </w:t>
            </w:r>
            <w:proofErr w:type="gramStart"/>
            <w:r>
              <w:rPr>
                <w:rFonts w:ascii="Garuda" w:hAnsi="Garuda" w:cs="Garuda"/>
                <w:sz w:val="20"/>
                <w:szCs w:val="20"/>
              </w:rPr>
              <w:t>postkolonialna :</w:t>
            </w:r>
            <w:proofErr w:type="gramEnd"/>
            <w:r>
              <w:rPr>
                <w:rFonts w:ascii="Garuda" w:hAnsi="Garuda" w:cs="Garuda"/>
                <w:sz w:val="20"/>
                <w:szCs w:val="20"/>
              </w:rPr>
              <w:t xml:space="preserve"> wprowadzenie krytyczne, tł. J. Serwański, Wydawnictwo Poznańskie, Poznań</w:t>
            </w:r>
          </w:p>
          <w:p w14:paraId="3BD25056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Kiossev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A. (1995) Notes on Self-colonising Cultures (w:) Ginev D.,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Sejersted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Fr.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, 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Simeonova</w:t>
            </w:r>
            <w:proofErr w:type="spellEnd"/>
            <w:proofErr w:type="gram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K. (red.)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Cultural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Aspects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of the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Modernisation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Process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, Oslo</w:t>
            </w:r>
          </w:p>
          <w:p w14:paraId="0E60CDAF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Garuda" w:hAnsi="Garuda" w:cs="Garuda"/>
                <w:sz w:val="20"/>
                <w:szCs w:val="20"/>
              </w:rPr>
              <w:t xml:space="preserve">Kubiak A. (2015) Rzeczy mniejsze.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Dysformia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i fiasko.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Semi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-peryferyjne formy kultury. Wyd. Uniwersytetu Rzeszowskiego, Rzeszów</w:t>
            </w:r>
          </w:p>
          <w:p w14:paraId="32BF6F44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Garuda" w:hAnsi="Garuda" w:cs="Garuda"/>
                <w:sz w:val="20"/>
                <w:szCs w:val="20"/>
              </w:rPr>
              <w:t>Kubiak A. (2018) Postkolonialne Polski: szkic z niepewnej natury, „Polonistyka. Innowacje” 2018/8 DOI: 10.14746/pi.2018.2.8.8</w:t>
            </w:r>
          </w:p>
          <w:p w14:paraId="751C627C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Garuda" w:hAnsi="Garuda" w:cs="Garuda"/>
                <w:sz w:val="20"/>
                <w:szCs w:val="20"/>
              </w:rPr>
              <w:t>Said, E. W. (1991) Orientalizm. Warszawa: PIW.</w:t>
            </w:r>
          </w:p>
          <w:p w14:paraId="5CFB26A2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lastRenderedPageBreak/>
              <w:t>Bhabha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H. K (2010) Miejsca kultury, tł. Dobrogoszcz T., Wydawnictwo Uniwersytetu Jagiellońskiego, Kraków (fr.)</w:t>
            </w:r>
          </w:p>
          <w:p w14:paraId="2A05EACC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t>Snochowska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-Gonzales Cl. (2013) Czy jesteśmy postkolonialni? O pewnym wrogim </w:t>
            </w:r>
            <w:proofErr w:type="gramStart"/>
            <w:r>
              <w:rPr>
                <w:rFonts w:ascii="Garuda" w:hAnsi="Garuda" w:cs="Garuda"/>
                <w:sz w:val="20"/>
                <w:szCs w:val="20"/>
              </w:rPr>
              <w:t>przejęciu,</w:t>
            </w:r>
            <w:proofErr w:type="gramEnd"/>
            <w:r>
              <w:rPr>
                <w:rFonts w:ascii="Garuda" w:hAnsi="Garuda" w:cs="Garuda"/>
                <w:sz w:val="20"/>
                <w:szCs w:val="20"/>
              </w:rPr>
              <w:t xml:space="preserve"> (w:) Tokarska-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Bakir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J. (red.</w:t>
            </w:r>
            <w:proofErr w:type="gramStart"/>
            <w:r>
              <w:rPr>
                <w:rFonts w:ascii="Garuda" w:hAnsi="Garuda" w:cs="Garuda"/>
                <w:sz w:val="20"/>
                <w:szCs w:val="20"/>
              </w:rPr>
              <w:t>) .</w:t>
            </w:r>
            <w:proofErr w:type="gramEnd"/>
            <w:r>
              <w:rPr>
                <w:rFonts w:ascii="Garuda" w:hAnsi="Garuda" w:cs="Garuda"/>
                <w:sz w:val="20"/>
                <w:szCs w:val="20"/>
              </w:rPr>
              <w:t xml:space="preserve"> PL: Tożsamość wyobrażona, s. 256-277, Wydawnictwo Czarna Owca, Warszawa</w:t>
            </w:r>
          </w:p>
          <w:p w14:paraId="400D54B3" w14:textId="77777777" w:rsidR="004169A1" w:rsidRDefault="004169A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Garuda" w:hAnsi="Garuda" w:cs="Garuda"/>
                <w:sz w:val="20"/>
                <w:szCs w:val="20"/>
              </w:rPr>
              <w:t>Zarycki T. (red.) (2013) Polska Wschodnia i orientalizm, Wyd. Naukowe Scholar, Warszawa</w:t>
            </w:r>
          </w:p>
        </w:tc>
      </w:tr>
      <w:tr w:rsidR="004169A1" w14:paraId="0ACD499A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E284" w14:textId="77777777" w:rsidR="004169A1" w:rsidRDefault="004169A1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029A504" w14:textId="77777777" w:rsidR="004169A1" w:rsidRDefault="004169A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18AC53BC" w14:textId="77777777" w:rsidR="004169A1" w:rsidRDefault="004169A1">
            <w:pPr>
              <w:numPr>
                <w:ilvl w:val="0"/>
                <w:numId w:val="2"/>
              </w:num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Bakić-Hayden Milica, 1995, </w:t>
            </w:r>
            <w:r w:rsidRPr="00BE3875">
              <w:rPr>
                <w:rFonts w:ascii="Garuda" w:hAnsi="Garuda" w:cs="Garuda"/>
                <w:i/>
                <w:iCs/>
                <w:sz w:val="20"/>
                <w:szCs w:val="20"/>
                <w:lang w:val="en-GB"/>
              </w:rPr>
              <w:t xml:space="preserve">Nesting </w:t>
            </w:r>
            <w:proofErr w:type="spellStart"/>
            <w:r w:rsidRPr="00BE3875">
              <w:rPr>
                <w:rFonts w:ascii="Garuda" w:hAnsi="Garuda" w:cs="Garuda"/>
                <w:i/>
                <w:iCs/>
                <w:sz w:val="20"/>
                <w:szCs w:val="20"/>
                <w:lang w:val="en-GB"/>
              </w:rPr>
              <w:t>Orientalisms</w:t>
            </w:r>
            <w:proofErr w:type="spellEnd"/>
            <w:r w:rsidRPr="00BE3875">
              <w:rPr>
                <w:rFonts w:ascii="Garuda" w:hAnsi="Garuda" w:cs="Garuda"/>
                <w:i/>
                <w:iCs/>
                <w:sz w:val="20"/>
                <w:szCs w:val="20"/>
                <w:lang w:val="en-GB"/>
              </w:rPr>
              <w:t>: The Case of Former Yugoslavia</w:t>
            </w: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Garuda" w:hAnsi="Garuda" w:cs="Garuda"/>
                <w:sz w:val="20"/>
                <w:szCs w:val="20"/>
              </w:rPr>
              <w:t>„Slavic</w:t>
            </w:r>
            <w:r>
              <w:rPr>
                <w:rFonts w:ascii="Garuda" w:hAnsi="Garuda" w:cs="Garuda"/>
                <w:sz w:val="20"/>
                <w:szCs w:val="20"/>
              </w:rPr>
              <w:br/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Review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” 54 (4): 917–31.</w:t>
            </w:r>
          </w:p>
          <w:p w14:paraId="26151F80" w14:textId="77777777" w:rsidR="004169A1" w:rsidRPr="00BE3875" w:rsidRDefault="004169A1">
            <w:pPr>
              <w:numPr>
                <w:ilvl w:val="0"/>
                <w:numId w:val="2"/>
              </w:numPr>
              <w:spacing w:after="0"/>
              <w:rPr>
                <w:lang w:val="en-GB"/>
              </w:rPr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Balibar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E. (2009) Europe as Borderland, Environment and Planning D: Society and Space 27 (2) s. 190–215. doi:10.1068/d13008.</w:t>
            </w:r>
          </w:p>
          <w:p w14:paraId="136640ED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proofErr w:type="spellStart"/>
            <w:r w:rsidRPr="00BE3875"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>Beauvois</w:t>
            </w:r>
            <w:proofErr w:type="spellEnd"/>
            <w:r w:rsidRPr="00BE3875"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 de Daniel, 2005, </w:t>
            </w:r>
            <w:r w:rsidRPr="00BE3875"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Trójkąt ukraiński. Szlachta, carat i lud na Wołyniu, Podolu i </w:t>
            </w:r>
            <w:proofErr w:type="spellStart"/>
            <w:r w:rsidRPr="00BE3875"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eastAsia="zh-CN" w:bidi="en-US"/>
              </w:rPr>
              <w:t>Kijowszczyźnie</w:t>
            </w:r>
            <w:proofErr w:type="spellEnd"/>
            <w:r w:rsidRPr="00BE3875"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 </w:t>
            </w:r>
            <w:r w:rsidRPr="00BE3875"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eastAsia="zh-CN" w:bidi="en-US"/>
              </w:rPr>
              <w:t>1793-1914</w:t>
            </w:r>
            <w:r w:rsidRPr="00BE3875"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, K. Rutkowski (przeł.) </w:t>
            </w:r>
            <w:proofErr w:type="spellStart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>Wydawnictwo</w:t>
            </w:r>
            <w:proofErr w:type="spell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 UMCS, Lublin</w:t>
            </w:r>
          </w:p>
          <w:p w14:paraId="54D58C41" w14:textId="77777777" w:rsidR="004169A1" w:rsidRPr="00BE3875" w:rsidRDefault="004169A1">
            <w:pPr>
              <w:numPr>
                <w:ilvl w:val="0"/>
                <w:numId w:val="2"/>
              </w:numPr>
              <w:spacing w:line="360" w:lineRule="auto"/>
              <w:rPr>
                <w:lang w:val="en-GB"/>
              </w:rPr>
            </w:pP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Bhabha Homi K, 1984, </w:t>
            </w:r>
            <w:r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val="en-US" w:eastAsia="zh-CN" w:bidi="en-US"/>
              </w:rPr>
              <w:t>Of Mimicry and Man: The Ambivalence of Colonial Discourse</w:t>
            </w: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, „October” 28, s. 125-133 </w:t>
            </w:r>
          </w:p>
          <w:p w14:paraId="1F727062" w14:textId="77777777" w:rsidR="004169A1" w:rsidRPr="00BE3875" w:rsidRDefault="004169A1">
            <w:pPr>
              <w:numPr>
                <w:ilvl w:val="0"/>
                <w:numId w:val="2"/>
              </w:numPr>
              <w:spacing w:line="360" w:lineRule="auto"/>
              <w:rPr>
                <w:lang w:val="en-GB"/>
              </w:rPr>
            </w:pPr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Böröcz J. (2001),</w:t>
            </w:r>
            <w:r w:rsidRPr="00BE3875"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Introduction: Empire and Coloniality in the "Eastern Enlargement” of the European Union.</w:t>
            </w:r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[w:] Böröcz J, Kovács M. (red.)</w:t>
            </w:r>
            <w:r w:rsidRPr="00BE3875"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val="en-GB" w:eastAsia="zh-CN" w:bidi="en-US"/>
              </w:rPr>
              <w:t>, Empire's New Clothes. Unveiling EU Enlargement,</w:t>
            </w:r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Holly Cottage: Central European Review, s. 4–5; </w:t>
            </w:r>
            <w:proofErr w:type="spellStart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dostępne</w:t>
            </w:r>
            <w:proofErr w:type="spellEnd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</w:t>
            </w:r>
            <w:proofErr w:type="spellStart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też</w:t>
            </w:r>
            <w:proofErr w:type="spellEnd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</w:t>
            </w:r>
            <w:proofErr w:type="spellStart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jako</w:t>
            </w:r>
            <w:proofErr w:type="spellEnd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e-book: http://aei.pitt.edu/144/1/Empire.pdf (</w:t>
            </w:r>
            <w:proofErr w:type="spellStart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dostęp</w:t>
            </w:r>
            <w:proofErr w:type="spellEnd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: 2017.01.20) </w:t>
            </w:r>
          </w:p>
          <w:p w14:paraId="044E201E" w14:textId="77777777" w:rsidR="004169A1" w:rsidRPr="00BE3875" w:rsidRDefault="004169A1">
            <w:pPr>
              <w:numPr>
                <w:ilvl w:val="0"/>
                <w:numId w:val="2"/>
              </w:numPr>
              <w:spacing w:line="360" w:lineRule="auto"/>
              <w:rPr>
                <w:lang w:val="en-GB"/>
              </w:rPr>
            </w:pPr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Böröcz J., </w:t>
            </w:r>
            <w:r w:rsidRPr="00BE3875"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From Comprador State to Auctioneer State: Property Change, Realignment, and </w:t>
            </w:r>
            <w:proofErr w:type="spellStart"/>
            <w:r w:rsidRPr="00BE3875"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val="en-GB" w:eastAsia="zh-CN" w:bidi="en-US"/>
              </w:rPr>
              <w:t>Peripherialization</w:t>
            </w:r>
            <w:proofErr w:type="spellEnd"/>
            <w:r w:rsidRPr="00BE3875"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val="en-GB" w:eastAsia="zh-CN" w:bidi="en-US"/>
              </w:rPr>
              <w:t xml:space="preserve"> in Post-state-socialist Central and Eastern Europe, </w:t>
            </w:r>
            <w:proofErr w:type="spellStart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Routlege</w:t>
            </w:r>
            <w:proofErr w:type="spellEnd"/>
            <w:r w:rsidRPr="00BE3875"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GB" w:eastAsia="zh-CN" w:bidi="en-US"/>
              </w:rPr>
              <w:t>, London 1999</w:t>
            </w:r>
          </w:p>
          <w:p w14:paraId="4432E16F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z w:val="20"/>
                <w:szCs w:val="20"/>
                <w:lang w:val="en-US"/>
              </w:rPr>
              <w:t xml:space="preserve">Böröcz Jozsef, 2012, </w:t>
            </w:r>
            <w:r>
              <w:rPr>
                <w:rStyle w:val="Uwydatnienie"/>
                <w:rFonts w:ascii="Garuda" w:eastAsia="Times New Roman" w:hAnsi="Garuda" w:cs="Garuda"/>
                <w:iCs w:val="0"/>
                <w:color w:val="231F20"/>
                <w:sz w:val="20"/>
                <w:szCs w:val="20"/>
                <w:lang w:val="en-US"/>
              </w:rPr>
              <w:t>Hungary in the European Union: „Catching Up”, Forever</w:t>
            </w: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z w:val="20"/>
                <w:szCs w:val="20"/>
                <w:lang w:val="en-US"/>
              </w:rPr>
              <w:t xml:space="preserve">, „Economic &amp; Political Weekly”, </w:t>
            </w:r>
            <w:proofErr w:type="gramStart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z w:val="20"/>
                <w:szCs w:val="20"/>
                <w:lang w:val="en-US"/>
              </w:rPr>
              <w:t>XLVII(</w:t>
            </w:r>
            <w:proofErr w:type="gram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z w:val="20"/>
                <w:szCs w:val="20"/>
                <w:lang w:val="en-US"/>
              </w:rPr>
              <w:t>23) s. 22–25</w:t>
            </w:r>
          </w:p>
          <w:p w14:paraId="6EFF448D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Buchowski Michał, </w:t>
            </w:r>
            <w:proofErr w:type="gramStart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2006,  </w:t>
            </w:r>
            <w:r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val="en-US" w:eastAsia="zh-CN" w:bidi="en-US"/>
              </w:rPr>
              <w:t>The</w:t>
            </w:r>
            <w:proofErr w:type="gramEnd"/>
            <w:r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 Specter of Orientalism in Europe: From Exotic Other to Stigmatized Brother.</w:t>
            </w: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 Anthropological Quarterly, 79 (3): 463-482 </w:t>
            </w:r>
          </w:p>
          <w:p w14:paraId="51F5BE45" w14:textId="77777777" w:rsidR="004169A1" w:rsidRDefault="004169A1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t>Chakrabarty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D. (2011) Prowincjonalizacja Europy. Myśl postkolonialna i różnica historyczna, (z </w:t>
            </w:r>
            <w:proofErr w:type="gramStart"/>
            <w:r>
              <w:rPr>
                <w:rFonts w:ascii="Garuda" w:hAnsi="Garuda" w:cs="Garuda"/>
                <w:sz w:val="20"/>
                <w:szCs w:val="20"/>
              </w:rPr>
              <w:t>nowa przedmową</w:t>
            </w:r>
            <w:proofErr w:type="gramEnd"/>
            <w:r>
              <w:rPr>
                <w:rFonts w:ascii="Garuda" w:hAnsi="Garuda" w:cs="Garuda"/>
                <w:sz w:val="20"/>
                <w:szCs w:val="20"/>
              </w:rPr>
              <w:t xml:space="preserve"> autora) tł. D. Kołodziejczyk, T. Dobrogoszcz, E. Domańska, posłowie E. Domańska, Wydawnictwo Poznańskie, Poznań </w:t>
            </w:r>
          </w:p>
          <w:p w14:paraId="5B915061" w14:textId="77777777" w:rsidR="004169A1" w:rsidRDefault="004169A1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t>Čolovič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I. (2001) Polityka Symboli. Eseje o antropologii politycznej, tł. M.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Petryńska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Universitas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, Kraków</w:t>
            </w:r>
          </w:p>
          <w:p w14:paraId="70C587FB" w14:textId="77777777" w:rsidR="004169A1" w:rsidRPr="00BE3875" w:rsidRDefault="004169A1">
            <w:pPr>
              <w:numPr>
                <w:ilvl w:val="0"/>
                <w:numId w:val="2"/>
              </w:numPr>
              <w:spacing w:after="0"/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Delanty, G. (1997)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Inventig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Europe. Idea, Identity, Reality, St. Martin Press, NY</w:t>
            </w:r>
          </w:p>
          <w:p w14:paraId="64FE93DB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>Dunn E. (2008)</w:t>
            </w:r>
            <w:r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, Prywatyzując Polskę. O bobofrutach, wielkim biznesie i restrukturyzacji pracy, </w:t>
            </w:r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tł. P. </w:t>
            </w:r>
            <w:proofErr w:type="spellStart"/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>Sadura</w:t>
            </w:r>
            <w:proofErr w:type="spellEnd"/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>, Wydawnictwo Krytyki Politycznej, Warszawa</w:t>
            </w:r>
          </w:p>
          <w:p w14:paraId="157B1326" w14:textId="77777777" w:rsidR="004169A1" w:rsidRPr="00BE3875" w:rsidRDefault="004169A1">
            <w:pPr>
              <w:numPr>
                <w:ilvl w:val="0"/>
                <w:numId w:val="2"/>
              </w:numPr>
              <w:spacing w:after="0"/>
              <w:rPr>
                <w:lang w:val="en-GB"/>
              </w:rPr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Etkind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A. (2003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)  Internal</w:t>
            </w:r>
            <w:proofErr w:type="gram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Colonization and Russian Cultural History, „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Ulbandus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”, 7, s. 17–25</w:t>
            </w:r>
          </w:p>
          <w:p w14:paraId="2D9A636F" w14:textId="77777777" w:rsidR="004169A1" w:rsidRDefault="004169A1">
            <w:pPr>
              <w:numPr>
                <w:ilvl w:val="0"/>
                <w:numId w:val="2"/>
              </w:numPr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t>Fanon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Fr. (1985) Wyklęty lud ziemi, tł.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Tygielska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H., PIW, Warszawa</w:t>
            </w:r>
          </w:p>
          <w:p w14:paraId="16E56FDF" w14:textId="77777777" w:rsidR="004169A1" w:rsidRDefault="004169A1">
            <w:pPr>
              <w:numPr>
                <w:ilvl w:val="0"/>
                <w:numId w:val="2"/>
              </w:numPr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t>Fanon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Fr. (2020) Czarna skóra, białe maski, tł.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Kropiwiec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U., Wyd.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Karaterk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Kraków </w:t>
            </w:r>
          </w:p>
          <w:p w14:paraId="7B01699E" w14:textId="77777777" w:rsidR="004169A1" w:rsidRDefault="004169A1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Garuda" w:hAnsi="Garuda" w:cs="Garuda"/>
                <w:sz w:val="20"/>
                <w:szCs w:val="20"/>
              </w:rPr>
              <w:lastRenderedPageBreak/>
              <w:t>Kagarlicki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B. (2012) Imperium peryferii. Rosja i system światowy, tł. Ł.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Leonkiewicz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, B.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Szulęcka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, Wyd. Krytyka Polityczna, Warszawa</w:t>
            </w:r>
          </w:p>
          <w:p w14:paraId="003DC7AA" w14:textId="77777777" w:rsidR="004169A1" w:rsidRDefault="004169A1">
            <w:pPr>
              <w:numPr>
                <w:ilvl w:val="0"/>
                <w:numId w:val="2"/>
              </w:numPr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Kiossev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A. (1995) Notes on Self-colonising Cultures (w:) Ginev D.,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Sejersted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Fr.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, 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Simeonova</w:t>
            </w:r>
            <w:proofErr w:type="spellEnd"/>
            <w:proofErr w:type="gram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K. (red.)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Cultural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Aspects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of the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Modernisation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Process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, Oslo</w:t>
            </w:r>
          </w:p>
          <w:p w14:paraId="5D218292" w14:textId="77777777" w:rsidR="004169A1" w:rsidRDefault="004169A1">
            <w:pPr>
              <w:numPr>
                <w:ilvl w:val="0"/>
                <w:numId w:val="2"/>
              </w:numPr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Kiossev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A. (2002) The Dark Intimacy: Maps, Identities, Acts of Identification, (w:)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Bjelic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D. I, Savic O. (red.) Balkan as Metaphor: Between Globalization and Fragmentation, MIT Press,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bmw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Garuda" w:hAnsi="Garuda" w:cs="Garuda"/>
                <w:sz w:val="20"/>
                <w:szCs w:val="20"/>
              </w:rPr>
              <w:t>DOI: 10.7551/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mitpress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/1508.001.0001 </w:t>
            </w:r>
          </w:p>
          <w:p w14:paraId="699B159F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Kleberg L. (2006) In Search of Dracula or, Cultures in Dialogue, I. Brandell (red.), State Frontiers: Borders and Boundaries in the Middle East, I. B. Tauris, London pp. 187-198</w:t>
            </w:r>
          </w:p>
          <w:p w14:paraId="7D996347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proofErr w:type="spellStart"/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>Kolarzowa</w:t>
            </w:r>
            <w:proofErr w:type="spellEnd"/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 R. (2015) </w:t>
            </w:r>
            <w:r>
              <w:rPr>
                <w:rStyle w:val="Uwydatnienie"/>
                <w:rFonts w:ascii="Garuda" w:hAnsi="Garuda" w:cs="Garuda"/>
                <w:color w:val="000000"/>
                <w:spacing w:val="-15"/>
                <w:sz w:val="20"/>
                <w:szCs w:val="20"/>
                <w:lang w:eastAsia="zh-CN" w:bidi="en-US"/>
              </w:rPr>
              <w:t>„Zamawianie” Realnego. Konstruowanie tożsamości fantazmatycznej narodu polskiego</w:t>
            </w:r>
            <w:r>
              <w:rPr>
                <w:rStyle w:val="Uwydatnienie"/>
                <w:rFonts w:ascii="Garuda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eastAsia="zh-CN" w:bidi="en-US"/>
              </w:rPr>
              <w:t>, „Teksty drugie” 1/2015, s. 84-95</w:t>
            </w:r>
          </w:p>
          <w:p w14:paraId="008297ED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>Kołodziejczyk D. (2013) Gdzie jest miejsce dla Europy Środkowo-Wschodniej w przestrzeni postkolonialnej? Możliwe trajektorie podróży, „PO-RÓWNANIA”, 13, t. XIII s. 9-27</w:t>
            </w:r>
          </w:p>
          <w:p w14:paraId="2D0B1FC3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Kołodziejczyk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D. (2017) Comparative Posts Going Political – the Postcolonial Backlash in Poland, w: Unforeseen Constellations: Reading Postcolonial Poland with South America, Polish Studies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Center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Indiana University,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materiały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konferencyjne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, s. 12-22.</w:t>
            </w:r>
          </w:p>
          <w:p w14:paraId="1ECE4C51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 xml:space="preserve">Kubiak A. (2015) Rzeczy mniejsze.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Dysformia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i fiasko.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Semi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>-peryferyjne formy kultury. Wyd. Uniwersytetu Rzeszowskiego, Rzeszów</w:t>
            </w:r>
          </w:p>
          <w:p w14:paraId="6B52818C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>Kubiak A. (2018) Postkolonialne Polski: szkic z niepewnej natury, „Polonistyka. Innowacje” 2018/8 DOI: 10.14746/pi.2018.2.8.8</w:t>
            </w:r>
          </w:p>
          <w:p w14:paraId="5740D04E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>Leder A. (2013) Prześniona rewolucja. Ćwiczenia z logiki historycznej, Wydawnictwo Krytyki Politycznej, Warszawa</w:t>
            </w:r>
          </w:p>
          <w:p w14:paraId="6C842CE8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Melegh A. (2006). On the East-West slope. Globalization, narration, racism and </w:t>
            </w:r>
            <w:proofErr w:type="spell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discources</w:t>
            </w:r>
            <w:proofErr w:type="spell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on Central and Eastern 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Europe,  CEU</w:t>
            </w:r>
            <w:proofErr w:type="gram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Press,  Budapest</w:t>
            </w:r>
            <w:proofErr w:type="gramEnd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, New York</w:t>
            </w:r>
          </w:p>
          <w:p w14:paraId="25BBA1B1" w14:textId="77777777" w:rsidR="004169A1" w:rsidRPr="00BE3875" w:rsidRDefault="004169A1">
            <w:pPr>
              <w:numPr>
                <w:ilvl w:val="0"/>
                <w:numId w:val="2"/>
              </w:numPr>
              <w:spacing w:line="360" w:lineRule="auto"/>
              <w:rPr>
                <w:lang w:val="en-GB"/>
              </w:rPr>
            </w:pP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Moore David C, 2001, </w:t>
            </w:r>
            <w:r>
              <w:rPr>
                <w:rStyle w:val="Uwydatnienie"/>
                <w:rFonts w:ascii="Garuda" w:eastAsia="Times New Roman" w:hAnsi="Garuda" w:cs="Garuda"/>
                <w:color w:val="231F20"/>
                <w:spacing w:val="-15"/>
                <w:sz w:val="20"/>
                <w:szCs w:val="20"/>
                <w:lang w:val="en-US" w:eastAsia="zh-CN" w:bidi="en-US"/>
              </w:rPr>
              <w:t>Is the Post- in Postcolonial the Post- in Post-Soviet? Toward a Global Postcolonial Critique</w:t>
            </w: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, PMLA 116(1) s. 111-128 (online:) http://monumenttotransformation.org/atlas-of-transformation/html/p/postcolonial-post-soviet/is-the-post-in-postcolonial-the-post-in-post-soviet-toward-a-global-postcolonial-critique-david-chioni-moore.html </w:t>
            </w:r>
          </w:p>
          <w:p w14:paraId="2A36BBE0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Morozov V. (2014), Russia’s Postcolonial Identity: A Subaltern Empire in a Eurocentric World, Palgrave </w:t>
            </w:r>
            <w:proofErr w:type="gramStart"/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Macmillan,  Basingstoke</w:t>
            </w:r>
            <w:proofErr w:type="gramEnd"/>
          </w:p>
          <w:p w14:paraId="10D2392D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>Mycock A. (2010) British Identity and the Legacy of Empire, Open Democracy (online:) https://www.opendemocracy.net/en/opendemocracyuk/british-identity-and-legacy-of-empire/</w:t>
            </w:r>
          </w:p>
          <w:p w14:paraId="6BE81AAF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t xml:space="preserve">Nyman J. (2015) British Imaginings of a European Periphery: Roger Scruton, Michael Palin and Michael Booth in/on Finland, Journal of Postcolonial Writing, 51 (2), s. 144–157. doi:10.1080/17449855.2015.1011847. </w:t>
            </w:r>
          </w:p>
          <w:p w14:paraId="42549346" w14:textId="77777777" w:rsidR="004169A1" w:rsidRDefault="004169A1">
            <w:pPr>
              <w:numPr>
                <w:ilvl w:val="0"/>
                <w:numId w:val="2"/>
              </w:numPr>
            </w:pPr>
            <w:r w:rsidRPr="00BE3875">
              <w:rPr>
                <w:rFonts w:ascii="Garuda" w:hAnsi="Garuda" w:cs="Garuda"/>
                <w:sz w:val="20"/>
                <w:szCs w:val="20"/>
                <w:lang w:val="en-GB"/>
              </w:rPr>
              <w:lastRenderedPageBreak/>
              <w:t xml:space="preserve">Roy S. (2007) Beyond Belief: India and the Politics of Postcolonial Nationalism.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Duke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University Press, DOI:10.2307/</w:t>
            </w:r>
            <w:proofErr w:type="gramStart"/>
            <w:r>
              <w:rPr>
                <w:rFonts w:ascii="Garuda" w:hAnsi="Garuda" w:cs="Garuda"/>
                <w:sz w:val="20"/>
                <w:szCs w:val="20"/>
              </w:rPr>
              <w:t>j.ctv</w:t>
            </w:r>
            <w:proofErr w:type="gramEnd"/>
            <w:r>
              <w:rPr>
                <w:rFonts w:ascii="Garuda" w:hAnsi="Garuda" w:cs="Garuda"/>
                <w:sz w:val="20"/>
                <w:szCs w:val="20"/>
              </w:rPr>
              <w:t>11smv98</w:t>
            </w:r>
          </w:p>
          <w:p w14:paraId="41A2CD41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>Said E. (2009) Kultura i imperializm, (tł.) Wyrwas-Wiśniewska M. Kraków</w:t>
            </w:r>
          </w:p>
          <w:p w14:paraId="1DA914E0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Fonts w:ascii="Garuda" w:eastAsia="Arial" w:hAnsi="Garuda" w:cs="Garuda"/>
                <w:sz w:val="20"/>
                <w:szCs w:val="20"/>
                <w:lang w:val="en-GB"/>
              </w:rPr>
              <w:t xml:space="preserve">Said E.W </w:t>
            </w:r>
            <w:r w:rsidRPr="00BE3875">
              <w:rPr>
                <w:rFonts w:ascii="Garuda" w:eastAsia="Arial" w:hAnsi="Garuda" w:cs="Garuda"/>
                <w:i/>
                <w:iCs/>
                <w:sz w:val="20"/>
                <w:szCs w:val="20"/>
                <w:lang w:val="en-GB"/>
              </w:rPr>
              <w:t>The clash of ignorance</w:t>
            </w:r>
            <w:r w:rsidRPr="00BE3875">
              <w:rPr>
                <w:rFonts w:ascii="Garuda" w:eastAsia="Arial" w:hAnsi="Garuda" w:cs="Garuda"/>
                <w:sz w:val="20"/>
                <w:szCs w:val="20"/>
                <w:lang w:val="en-GB"/>
              </w:rPr>
              <w:t xml:space="preserve">, The Nation 10.22.2001 [online: </w:t>
            </w:r>
            <w:proofErr w:type="gramStart"/>
            <w:r w:rsidRPr="00BE3875">
              <w:rPr>
                <w:rFonts w:ascii="Garuda" w:eastAsia="Arial" w:hAnsi="Garuda" w:cs="Garuda"/>
                <w:sz w:val="20"/>
                <w:szCs w:val="20"/>
                <w:lang w:val="en-GB"/>
              </w:rPr>
              <w:t>https://www.thenation.com/article/clash-ignorance/ ]</w:t>
            </w:r>
            <w:proofErr w:type="gramEnd"/>
          </w:p>
          <w:p w14:paraId="7A929C2E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r w:rsidRPr="00BE3875"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eastAsia="zh-CN" w:bidi="en-US"/>
              </w:rPr>
              <w:t xml:space="preserve">Skórczewski Dariusz, 2013, </w:t>
            </w:r>
            <w:r w:rsidRPr="00BE3875">
              <w:rPr>
                <w:rStyle w:val="Uwydatnienie"/>
                <w:rFonts w:ascii="Garuda" w:eastAsia="Times New Roman" w:hAnsi="Garuda" w:cs="Garuda"/>
                <w:color w:val="231F20"/>
                <w:spacing w:val="-15"/>
                <w:sz w:val="20"/>
                <w:szCs w:val="20"/>
                <w:lang w:eastAsia="zh-CN" w:bidi="en-US"/>
              </w:rPr>
              <w:t xml:space="preserve">Teoria-literatura-dyskurs. </w:t>
            </w:r>
            <w:proofErr w:type="spellStart"/>
            <w:r>
              <w:rPr>
                <w:rStyle w:val="Uwydatnienie"/>
                <w:rFonts w:ascii="Garuda" w:eastAsia="Times New Roman" w:hAnsi="Garuda" w:cs="Garuda"/>
                <w:color w:val="231F20"/>
                <w:spacing w:val="-15"/>
                <w:sz w:val="20"/>
                <w:szCs w:val="20"/>
                <w:lang w:val="en-US" w:eastAsia="zh-CN" w:bidi="en-US"/>
              </w:rPr>
              <w:t>Pejzaż</w:t>
            </w:r>
            <w:proofErr w:type="spellEnd"/>
            <w:r>
              <w:rPr>
                <w:rStyle w:val="Uwydatnienie"/>
                <w:rFonts w:ascii="Garuda" w:eastAsia="Times New Roman" w:hAnsi="Garuda" w:cs="Garuda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 </w:t>
            </w:r>
            <w:proofErr w:type="spellStart"/>
            <w:r>
              <w:rPr>
                <w:rStyle w:val="Uwydatnienie"/>
                <w:rFonts w:ascii="Garuda" w:eastAsia="Times New Roman" w:hAnsi="Garuda" w:cs="Garuda"/>
                <w:color w:val="231F20"/>
                <w:spacing w:val="-15"/>
                <w:sz w:val="20"/>
                <w:szCs w:val="20"/>
                <w:lang w:val="en-US" w:eastAsia="zh-CN" w:bidi="en-US"/>
              </w:rPr>
              <w:t>postkolonialny</w:t>
            </w:r>
            <w:proofErr w:type="spell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>. Lublin:</w:t>
            </w: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br/>
            </w:r>
            <w:proofErr w:type="spellStart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>Wydawnictwo</w:t>
            </w:r>
            <w:proofErr w:type="spell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 KUL </w:t>
            </w:r>
          </w:p>
          <w:p w14:paraId="657E8380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r w:rsidRPr="00BE3875">
              <w:rPr>
                <w:rStyle w:val="Uwydatnienie"/>
                <w:rFonts w:ascii="Garuda" w:eastAsia="Times New Roman" w:hAnsi="Garuda" w:cs="Garuda"/>
                <w:i w:val="0"/>
                <w:color w:val="000000"/>
                <w:spacing w:val="-15"/>
                <w:sz w:val="20"/>
                <w:szCs w:val="20"/>
                <w:lang w:eastAsia="zh-CN" w:bidi="en-US"/>
              </w:rPr>
              <w:t xml:space="preserve">Sosnowska A., </w:t>
            </w:r>
            <w:r w:rsidRPr="00BE3875"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eastAsia="zh-CN" w:bidi="en-US"/>
              </w:rPr>
              <w:t>Tu, tam – pomieszanie</w:t>
            </w:r>
            <w:r w:rsidRPr="00BE3875">
              <w:rPr>
                <w:rStyle w:val="Uwydatnienie"/>
                <w:rFonts w:ascii="Garuda" w:eastAsia="Times New Roman" w:hAnsi="Garuda" w:cs="Garuda"/>
                <w:i w:val="0"/>
                <w:color w:val="000000"/>
                <w:spacing w:val="-15"/>
                <w:sz w:val="20"/>
                <w:szCs w:val="20"/>
                <w:lang w:eastAsia="zh-CN" w:bidi="en-US"/>
              </w:rPr>
              <w:t>, „Studia Socjologiczne”, 4/1997, s. 61–88</w:t>
            </w:r>
          </w:p>
          <w:p w14:paraId="4187A9D4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 xml:space="preserve">Sowa J. (2011) Fantomowe ciało króla, Peryferyjne zmagania z nowoczesną formą,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Universitas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, Kraków </w:t>
            </w:r>
          </w:p>
          <w:p w14:paraId="0C8B0C2D" w14:textId="77777777" w:rsidR="004169A1" w:rsidRDefault="004169A1">
            <w:pPr>
              <w:numPr>
                <w:ilvl w:val="0"/>
                <w:numId w:val="2"/>
              </w:numPr>
            </w:pPr>
            <w:r w:rsidRPr="00BE3875">
              <w:rPr>
                <w:rStyle w:val="Cytat2"/>
                <w:rFonts w:ascii="Garuda" w:eastAsia="Times New Roman" w:hAnsi="Garuda" w:cs="Garuda"/>
                <w:i w:val="0"/>
                <w:color w:val="231F20"/>
                <w:sz w:val="20"/>
                <w:szCs w:val="20"/>
              </w:rPr>
              <w:t>Sowa Jan, 2011,</w:t>
            </w:r>
            <w:r w:rsidRPr="00BE3875">
              <w:rPr>
                <w:rStyle w:val="Cytat2"/>
                <w:rFonts w:ascii="Garuda" w:eastAsia="Times New Roman" w:hAnsi="Garuda" w:cs="Garuda"/>
                <w:color w:val="231F20"/>
                <w:sz w:val="20"/>
                <w:szCs w:val="20"/>
              </w:rPr>
              <w:t xml:space="preserve"> Fantomowe ciało króla, Peryferyjne zmagania z nowoczesną formą, </w:t>
            </w:r>
            <w:proofErr w:type="spellStart"/>
            <w:r w:rsidRPr="00BE3875">
              <w:rPr>
                <w:rStyle w:val="Cytat2"/>
                <w:rFonts w:ascii="Garuda" w:eastAsia="Times New Roman" w:hAnsi="Garuda" w:cs="Garuda"/>
                <w:i w:val="0"/>
                <w:color w:val="231F20"/>
                <w:sz w:val="20"/>
                <w:szCs w:val="20"/>
              </w:rPr>
              <w:t>Universitas</w:t>
            </w:r>
            <w:proofErr w:type="spellEnd"/>
            <w:r w:rsidRPr="00BE3875">
              <w:rPr>
                <w:rStyle w:val="Cytat2"/>
                <w:rFonts w:ascii="Garuda" w:eastAsia="Times New Roman" w:hAnsi="Garuda" w:cs="Garuda"/>
                <w:i w:val="0"/>
                <w:color w:val="231F20"/>
                <w:sz w:val="20"/>
                <w:szCs w:val="20"/>
              </w:rPr>
              <w:t>, Kraków</w:t>
            </w:r>
          </w:p>
          <w:p w14:paraId="4D5ECBE0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proofErr w:type="spellStart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Sztompka</w:t>
            </w:r>
            <w:proofErr w:type="spellEnd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 xml:space="preserve"> P. (1993) Civilizational Incompetence: The Trap of Post-Communist Societies, </w:t>
            </w:r>
            <w:proofErr w:type="spellStart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Zeitschrift</w:t>
            </w:r>
            <w:proofErr w:type="spellEnd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 xml:space="preserve"> für </w:t>
            </w:r>
            <w:proofErr w:type="spellStart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Soziologie</w:t>
            </w:r>
            <w:proofErr w:type="spellEnd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, 22/2, s. 85-</w:t>
            </w:r>
            <w:proofErr w:type="gramStart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95  DOI</w:t>
            </w:r>
            <w:proofErr w:type="gramEnd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: 10.1515/zfsoz-1993-0201</w:t>
            </w:r>
          </w:p>
          <w:p w14:paraId="48C02CB0" w14:textId="77777777" w:rsidR="004169A1" w:rsidRPr="00BE3875" w:rsidRDefault="004169A1">
            <w:pPr>
              <w:numPr>
                <w:ilvl w:val="0"/>
                <w:numId w:val="2"/>
              </w:numPr>
              <w:spacing w:line="360" w:lineRule="auto"/>
              <w:rPr>
                <w:lang w:val="en-GB"/>
              </w:rPr>
            </w:pPr>
            <w:r>
              <w:rPr>
                <w:rStyle w:val="Cytat2"/>
                <w:rFonts w:ascii="Garuda" w:eastAsia="Times New Roman" w:hAnsi="Garuda" w:cs="Garuda"/>
                <w:i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Terlouw C.P. ,1993, </w:t>
            </w:r>
            <w:r>
              <w:rPr>
                <w:rStyle w:val="Cytat2"/>
                <w:rFonts w:ascii="Garuda" w:eastAsia="Times New Roman" w:hAnsi="Garuda" w:cs="Garuda"/>
                <w:iCs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The Elusive </w:t>
            </w:r>
            <w:proofErr w:type="spellStart"/>
            <w:r>
              <w:rPr>
                <w:rStyle w:val="Cytat2"/>
                <w:rFonts w:ascii="Garuda" w:eastAsia="Times New Roman" w:hAnsi="Garuda" w:cs="Garuda"/>
                <w:iCs/>
                <w:color w:val="231F20"/>
                <w:spacing w:val="-15"/>
                <w:sz w:val="20"/>
                <w:szCs w:val="20"/>
                <w:lang w:val="en-US" w:eastAsia="zh-CN" w:bidi="en-US"/>
              </w:rPr>
              <w:t>Semiperiphery</w:t>
            </w:r>
            <w:proofErr w:type="spellEnd"/>
            <w:r>
              <w:rPr>
                <w:rStyle w:val="Cytat2"/>
                <w:rFonts w:ascii="Garuda" w:eastAsia="Times New Roman" w:hAnsi="Garuda" w:cs="Garuda"/>
                <w:iCs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: A Critical Examination of the Concept </w:t>
            </w:r>
            <w:proofErr w:type="spellStart"/>
            <w:r>
              <w:rPr>
                <w:rStyle w:val="Cytat2"/>
                <w:rFonts w:ascii="Garuda" w:eastAsia="Times New Roman" w:hAnsi="Garuda" w:cs="Garuda"/>
                <w:iCs/>
                <w:color w:val="231F20"/>
                <w:spacing w:val="-15"/>
                <w:sz w:val="20"/>
                <w:szCs w:val="20"/>
                <w:lang w:val="en-US" w:eastAsia="zh-CN" w:bidi="en-US"/>
              </w:rPr>
              <w:t>Semiperiphery</w:t>
            </w:r>
            <w:proofErr w:type="spellEnd"/>
            <w:r>
              <w:rPr>
                <w:rStyle w:val="Cytat2"/>
                <w:rFonts w:ascii="Garuda" w:eastAsia="Times New Roman" w:hAnsi="Garuda" w:cs="Garuda"/>
                <w:i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, „International Journal of Comparative Sociology” Marzec, nr. 34 s. 87-102 </w:t>
            </w:r>
          </w:p>
          <w:p w14:paraId="0F7F2D63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>Thompson E. (2011) A jednak kolonializm: uwagi epistemologiczne, „Teksty Drugie</w:t>
            </w:r>
            <w:proofErr w:type="gramStart"/>
            <w:r>
              <w:rPr>
                <w:rFonts w:ascii="Garuda" w:hAnsi="Garuda" w:cs="Garuda"/>
                <w:sz w:val="20"/>
                <w:szCs w:val="20"/>
              </w:rPr>
              <w:t>” ,</w:t>
            </w:r>
            <w:proofErr w:type="gramEnd"/>
            <w:r>
              <w:rPr>
                <w:rFonts w:ascii="Garuda" w:hAnsi="Garuda" w:cs="Garuda"/>
                <w:sz w:val="20"/>
                <w:szCs w:val="20"/>
              </w:rPr>
              <w:t xml:space="preserve"> nr 6. s. 289-302</w:t>
            </w:r>
          </w:p>
          <w:p w14:paraId="1CFCF374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 xml:space="preserve">Thompson E. (2012) O kolonizacji Europy Środkowej, „Rzeczy Wspólne” nr 8 </w:t>
            </w:r>
          </w:p>
          <w:p w14:paraId="2F145D5E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proofErr w:type="spellStart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>Tlostanova</w:t>
            </w:r>
            <w:proofErr w:type="spell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 M., </w:t>
            </w:r>
            <w:r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Can the Post-Soviet Think? On Coloniality of Knowledge, External Imperial and Double Colonial </w:t>
            </w:r>
            <w:proofErr w:type="gramStart"/>
            <w:r>
              <w:rPr>
                <w:rStyle w:val="Uwydatnienie"/>
                <w:rFonts w:ascii="Garuda" w:eastAsia="Times New Roman" w:hAnsi="Garuda" w:cs="Garuda"/>
                <w:color w:val="000000"/>
                <w:spacing w:val="-15"/>
                <w:sz w:val="20"/>
                <w:szCs w:val="20"/>
                <w:lang w:val="en-US" w:eastAsia="zh-CN" w:bidi="en-US"/>
              </w:rPr>
              <w:t>Difference</w:t>
            </w:r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>, „</w:t>
            </w:r>
            <w:proofErr w:type="gram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 xml:space="preserve">Intersections. EEJSP” 1(2) s. 38-58, </w:t>
            </w:r>
            <w:proofErr w:type="spellStart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>doi</w:t>
            </w:r>
            <w:proofErr w:type="spellEnd"/>
            <w:r>
              <w:rPr>
                <w:rStyle w:val="Uwydatnienie"/>
                <w:rFonts w:ascii="Garuda" w:eastAsia="Times New Roman" w:hAnsi="Garuda" w:cs="Garuda"/>
                <w:i w:val="0"/>
                <w:iCs w:val="0"/>
                <w:color w:val="000000"/>
                <w:spacing w:val="-15"/>
                <w:sz w:val="20"/>
                <w:szCs w:val="20"/>
                <w:lang w:val="en-US" w:eastAsia="zh-CN" w:bidi="en-US"/>
              </w:rPr>
              <w:t>: 10.17256/ieejsp.vli2.38</w:t>
            </w:r>
          </w:p>
          <w:p w14:paraId="3B4EA9C7" w14:textId="77777777" w:rsidR="004169A1" w:rsidRPr="00BE3875" w:rsidRDefault="004169A1">
            <w:pPr>
              <w:numPr>
                <w:ilvl w:val="0"/>
                <w:numId w:val="2"/>
              </w:numPr>
              <w:spacing w:line="360" w:lineRule="auto"/>
              <w:rPr>
                <w:lang w:val="en-GB"/>
              </w:rPr>
            </w:pPr>
            <w:proofErr w:type="spellStart"/>
            <w:r>
              <w:rPr>
                <w:rStyle w:val="Cytat2"/>
                <w:rFonts w:ascii="Garuda" w:eastAsia="Times New Roman" w:hAnsi="Garuda" w:cs="Garuda"/>
                <w:i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>Tlostanova</w:t>
            </w:r>
            <w:proofErr w:type="spellEnd"/>
            <w:r>
              <w:rPr>
                <w:rStyle w:val="Cytat2"/>
                <w:rFonts w:ascii="Garuda" w:eastAsia="Times New Roman" w:hAnsi="Garuda" w:cs="Garuda"/>
                <w:i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 Madina, 2012, </w:t>
            </w:r>
            <w:proofErr w:type="spellStart"/>
            <w:r>
              <w:rPr>
                <w:rStyle w:val="Cytat2"/>
                <w:rFonts w:ascii="Garuda" w:eastAsia="Times New Roman" w:hAnsi="Garuda" w:cs="Garuda"/>
                <w:iCs/>
                <w:color w:val="231F20"/>
                <w:spacing w:val="-15"/>
                <w:sz w:val="20"/>
                <w:szCs w:val="20"/>
                <w:lang w:val="en-US" w:eastAsia="zh-CN" w:bidi="en-US"/>
              </w:rPr>
              <w:t>Postsocialist</w:t>
            </w:r>
            <w:proofErr w:type="spellEnd"/>
            <w:r>
              <w:rPr>
                <w:rStyle w:val="Cytat2"/>
                <w:rFonts w:ascii="Garuda" w:eastAsia="Times New Roman" w:hAnsi="Garuda" w:cs="Garuda"/>
                <w:iCs/>
                <w:color w:val="231F20"/>
                <w:spacing w:val="-15"/>
                <w:sz w:val="20"/>
                <w:szCs w:val="20"/>
                <w:lang w:val="en-US" w:eastAsia="zh-CN" w:bidi="en-US"/>
              </w:rPr>
              <w:t xml:space="preserve"> ≠ postcolonial? On post-Soviet imaginary and global coloniality</w:t>
            </w:r>
            <w:r>
              <w:rPr>
                <w:rStyle w:val="Cytat2"/>
                <w:rFonts w:ascii="Garuda" w:eastAsia="Times New Roman" w:hAnsi="Garuda" w:cs="Garuda"/>
                <w:i w:val="0"/>
                <w:color w:val="231F20"/>
                <w:spacing w:val="-15"/>
                <w:sz w:val="20"/>
                <w:szCs w:val="20"/>
                <w:lang w:val="en-US" w:eastAsia="zh-CN" w:bidi="en-US"/>
              </w:rPr>
              <w:t>, „Journal of Postcolonial Writing”,48/2, s. 130-142</w:t>
            </w:r>
          </w:p>
          <w:p w14:paraId="53D40DD6" w14:textId="77777777" w:rsidR="004169A1" w:rsidRDefault="004169A1">
            <w:pPr>
              <w:numPr>
                <w:ilvl w:val="0"/>
                <w:numId w:val="2"/>
              </w:numPr>
            </w:pPr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 xml:space="preserve">Todorova M. (1994) The Balkans: From Discovery to Invention. </w:t>
            </w:r>
            <w:r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</w:rPr>
              <w:t xml:space="preserve">Slavic </w:t>
            </w:r>
            <w:proofErr w:type="spellStart"/>
            <w:r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</w:rPr>
              <w:t>Review</w:t>
            </w:r>
            <w:proofErr w:type="spellEnd"/>
            <w:r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</w:rPr>
              <w:t>, 53(2) s. 453-482 doi:10.2307/2501301</w:t>
            </w:r>
          </w:p>
          <w:p w14:paraId="09239CB8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 xml:space="preserve">Zarycki T. (2008) O jednostronnej wizji „Wschodu” w Polskiej tożsamości narodowej, (w:) </w:t>
            </w:r>
            <w:proofErr w:type="spellStart"/>
            <w:proofErr w:type="gramStart"/>
            <w:r>
              <w:rPr>
                <w:rFonts w:ascii="Garuda" w:hAnsi="Garuda" w:cs="Garuda"/>
                <w:sz w:val="20"/>
                <w:szCs w:val="20"/>
              </w:rPr>
              <w:t>J.Szomburg</w:t>
            </w:r>
            <w:proofErr w:type="spellEnd"/>
            <w:proofErr w:type="gramEnd"/>
            <w:r>
              <w:rPr>
                <w:rFonts w:ascii="Garuda" w:hAnsi="Garuda" w:cs="Garuda"/>
                <w:sz w:val="20"/>
                <w:szCs w:val="20"/>
              </w:rPr>
              <w:t xml:space="preserve"> (red.) "Modernizacja Polski. Kody kulturowe i mity". Gdańsk: Instytut Badań nad Gospodarką Rynkową, s. 73-80.</w:t>
            </w:r>
          </w:p>
          <w:p w14:paraId="363FE762" w14:textId="77777777" w:rsidR="004169A1" w:rsidRDefault="004169A1">
            <w:pPr>
              <w:numPr>
                <w:ilvl w:val="0"/>
                <w:numId w:val="2"/>
              </w:numPr>
            </w:pPr>
            <w:r>
              <w:rPr>
                <w:rFonts w:ascii="Garuda" w:hAnsi="Garuda" w:cs="Garuda"/>
                <w:sz w:val="20"/>
                <w:szCs w:val="20"/>
              </w:rPr>
              <w:t xml:space="preserve">Zarycki T. (2009) O prowincjonalizmie inaczej, (w:): </w:t>
            </w:r>
            <w:proofErr w:type="spellStart"/>
            <w:r>
              <w:rPr>
                <w:rFonts w:ascii="Garuda" w:hAnsi="Garuda" w:cs="Garuda"/>
                <w:sz w:val="20"/>
                <w:szCs w:val="20"/>
              </w:rPr>
              <w:t>Szomburg</w:t>
            </w:r>
            <w:proofErr w:type="spellEnd"/>
            <w:r>
              <w:rPr>
                <w:rFonts w:ascii="Garuda" w:hAnsi="Garuda" w:cs="Garuda"/>
                <w:sz w:val="20"/>
                <w:szCs w:val="20"/>
              </w:rPr>
              <w:t xml:space="preserve"> J. (red.) W poszukiwaniu portretu Polaków. Gdańsk: Instytut Badań nad Gospodarką Rynkową, s. 55-64.</w:t>
            </w:r>
          </w:p>
          <w:p w14:paraId="4C9C5858" w14:textId="77777777" w:rsidR="004169A1" w:rsidRPr="00BE3875" w:rsidRDefault="004169A1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 xml:space="preserve">Zarycki T. (2014) Ideologies of </w:t>
            </w:r>
            <w:proofErr w:type="spellStart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>Eastness</w:t>
            </w:r>
            <w:proofErr w:type="spellEnd"/>
            <w:r w:rsidRPr="00BE3875">
              <w:rPr>
                <w:rStyle w:val="Pogrubienie"/>
                <w:rFonts w:ascii="Garuda" w:hAnsi="Garuda" w:cs="Garuda"/>
                <w:b w:val="0"/>
                <w:bCs w:val="0"/>
                <w:sz w:val="20"/>
                <w:szCs w:val="20"/>
                <w:lang w:val="en-GB"/>
              </w:rPr>
              <w:t xml:space="preserve"> in Central and Eastern Europe, Routledge, London </w:t>
            </w:r>
          </w:p>
          <w:p w14:paraId="24F5F539" w14:textId="77777777" w:rsidR="004169A1" w:rsidRDefault="004169A1">
            <w:pPr>
              <w:numPr>
                <w:ilvl w:val="0"/>
                <w:numId w:val="2"/>
              </w:numPr>
              <w:spacing w:line="360" w:lineRule="auto"/>
            </w:pPr>
            <w:r w:rsidRPr="00BE3875">
              <w:rPr>
                <w:rStyle w:val="Cytat2"/>
                <w:rFonts w:ascii="Garuda" w:hAnsi="Garuda" w:cs="Garuda"/>
                <w:i w:val="0"/>
                <w:color w:val="231F20"/>
                <w:spacing w:val="-15"/>
                <w:sz w:val="20"/>
                <w:szCs w:val="20"/>
                <w:lang w:eastAsia="zh-CN" w:bidi="en-US"/>
              </w:rPr>
              <w:t xml:space="preserve">Zarycki Tomasz, 2010, </w:t>
            </w:r>
            <w:r w:rsidRPr="00BE3875">
              <w:rPr>
                <w:rStyle w:val="Uwydatnienie"/>
                <w:rFonts w:ascii="Garuda" w:hAnsi="Garuda" w:cs="Garuda"/>
                <w:iCs w:val="0"/>
                <w:color w:val="231F20"/>
                <w:spacing w:val="-15"/>
                <w:sz w:val="20"/>
                <w:szCs w:val="20"/>
                <w:lang w:eastAsia="zh-CN" w:bidi="en-US"/>
              </w:rPr>
              <w:t>Peryferie: Nowe ujęcia relacji centro-peryferyjnych</w:t>
            </w:r>
            <w:r w:rsidRPr="00BE3875">
              <w:rPr>
                <w:rStyle w:val="Cytat2"/>
                <w:rFonts w:ascii="Garuda" w:hAnsi="Garuda" w:cs="Garuda"/>
                <w:i w:val="0"/>
                <w:color w:val="231F20"/>
                <w:spacing w:val="-15"/>
                <w:sz w:val="20"/>
                <w:szCs w:val="20"/>
                <w:lang w:eastAsia="zh-CN" w:bidi="en-US"/>
              </w:rPr>
              <w:t>, Wydawnictwo Naukowe Scholar, Warszawa</w:t>
            </w:r>
          </w:p>
        </w:tc>
      </w:tr>
    </w:tbl>
    <w:p w14:paraId="008D4DC6" w14:textId="77777777" w:rsidR="004169A1" w:rsidRDefault="004169A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7ED5A94" w14:textId="77777777" w:rsidR="004169A1" w:rsidRDefault="004169A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7B8BBB3" w14:textId="77777777" w:rsidR="004169A1" w:rsidRDefault="004169A1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4169A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F992" w14:textId="77777777" w:rsidR="00A42DD8" w:rsidRDefault="00A42DD8">
      <w:pPr>
        <w:spacing w:after="0" w:line="240" w:lineRule="auto"/>
      </w:pPr>
      <w:r>
        <w:separator/>
      </w:r>
    </w:p>
  </w:endnote>
  <w:endnote w:type="continuationSeparator" w:id="0">
    <w:p w14:paraId="25A4D668" w14:textId="77777777" w:rsidR="00A42DD8" w:rsidRDefault="00A4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uda">
    <w:altName w:val="Times New Roman"/>
    <w:charset w:val="01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0842" w14:textId="77777777" w:rsidR="00A42DD8" w:rsidRDefault="00A42DD8">
      <w:pPr>
        <w:spacing w:after="0" w:line="240" w:lineRule="auto"/>
      </w:pPr>
      <w:r>
        <w:separator/>
      </w:r>
    </w:p>
  </w:footnote>
  <w:footnote w:type="continuationSeparator" w:id="0">
    <w:p w14:paraId="71401BF3" w14:textId="77777777" w:rsidR="00A42DD8" w:rsidRDefault="00A42DD8">
      <w:pPr>
        <w:spacing w:after="0" w:line="240" w:lineRule="auto"/>
      </w:pPr>
      <w:r>
        <w:continuationSeparator/>
      </w:r>
    </w:p>
  </w:footnote>
  <w:footnote w:id="1">
    <w:p w14:paraId="460657BD" w14:textId="77777777" w:rsidR="004169A1" w:rsidRDefault="004169A1">
      <w:r>
        <w:rPr>
          <w:rStyle w:val="FootnoteCharacters"/>
          <w:rFonts w:ascii="Garuda" w:hAnsi="Garuda"/>
        </w:rPr>
        <w:footnoteRef/>
      </w:r>
    </w:p>
    <w:p w14:paraId="7C60BB6F" w14:textId="77777777" w:rsidR="004169A1" w:rsidRDefault="004169A1">
      <w:pPr>
        <w:pStyle w:val="Tekstprzypisudolnego"/>
        <w:pageBreakBefore/>
      </w:pPr>
      <w:r>
        <w:rPr>
          <w:rStyle w:val="FootnoteCharacters"/>
        </w:rPr>
        <w:tab/>
        <w:t>?</w:t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17287179">
    <w:abstractNumId w:val="0"/>
  </w:num>
  <w:num w:numId="2" w16cid:durableId="1643852434">
    <w:abstractNumId w:val="1"/>
  </w:num>
  <w:num w:numId="3" w16cid:durableId="1058675083">
    <w:abstractNumId w:val="2"/>
  </w:num>
  <w:num w:numId="4" w16cid:durableId="564220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A49"/>
    <w:rsid w:val="00061A49"/>
    <w:rsid w:val="002A4D42"/>
    <w:rsid w:val="003B6D99"/>
    <w:rsid w:val="00403877"/>
    <w:rsid w:val="004169A1"/>
    <w:rsid w:val="00497243"/>
    <w:rsid w:val="004B4643"/>
    <w:rsid w:val="007446A5"/>
    <w:rsid w:val="007B02AB"/>
    <w:rsid w:val="00844CDC"/>
    <w:rsid w:val="009A193A"/>
    <w:rsid w:val="009D29CE"/>
    <w:rsid w:val="00A11C53"/>
    <w:rsid w:val="00A42DD8"/>
    <w:rsid w:val="00B24B4F"/>
    <w:rsid w:val="00BE3875"/>
    <w:rsid w:val="00CE5043"/>
    <w:rsid w:val="00DF488A"/>
    <w:rsid w:val="00E5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BAA5AF"/>
  <w15:chartTrackingRefBased/>
  <w15:docId w15:val="{DE0EB990-ED36-4999-B5DB-1605BC99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TytuZnak">
    <w:name w:val="Tytuł Znak"/>
    <w:rPr>
      <w:rFonts w:eastAsia="Times New Roman"/>
      <w:b/>
      <w:bCs/>
      <w:lang w:eastAsia="pl-PL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pagenumber">
    <w:name w:val="page number"/>
    <w:basedOn w:val="DefaultParagraphFont"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Cytat1">
    <w:name w:val="Cytat1"/>
    <w:rPr>
      <w:i/>
      <w:iCs w:val="0"/>
    </w:rPr>
  </w:style>
  <w:style w:type="character" w:customStyle="1" w:styleId="Cytat2">
    <w:name w:val="Cytat2"/>
    <w:rPr>
      <w:i/>
    </w:rPr>
  </w:style>
  <w:style w:type="character" w:customStyle="1" w:styleId="NumberingSymbols">
    <w:name w:val="Numbering Symbols"/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  <w:rPr>
      <w:rFonts w:cs="Lohit Devanagari"/>
    </w:rPr>
  </w:style>
  <w:style w:type="paragraph" w:customStyle="1" w:styleId="ListParagraph">
    <w:name w:val="List Paragraph"/>
    <w:basedOn w:val="Normalny"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BalloonText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oSpacing">
    <w:name w:val="No Spacing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Contents">
    <w:name w:val="Table Contents"/>
    <w:basedOn w:val="Normalny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2292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Jadwiga Skrzypek-Faluszczak</cp:lastModifiedBy>
  <cp:revision>2</cp:revision>
  <cp:lastPrinted>2019-02-06T11:12:00Z</cp:lastPrinted>
  <dcterms:created xsi:type="dcterms:W3CDTF">2026-09-02T17:42:00Z</dcterms:created>
  <dcterms:modified xsi:type="dcterms:W3CDTF">2026-09-02T17:42:00Z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